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1707">
      <w:pPr>
        <w:overflowPunct w:val="0"/>
        <w:spacing w:line="520" w:lineRule="exact"/>
        <w:jc w:val="center"/>
        <w:rPr>
          <w:rFonts w:ascii="Times New Roman" w:hAnsi="Times New Roman" w:eastAsia="方正小标宋简体" w:cs="Times New Roman"/>
          <w:sz w:val="44"/>
          <w:szCs w:val="36"/>
        </w:rPr>
      </w:pPr>
      <w:r>
        <w:rPr>
          <w:rFonts w:hint="eastAsia" w:ascii="Times New Roman" w:hAnsi="Times New Roman" w:eastAsia="方正小标宋简体" w:cs="Times New Roman"/>
          <w:sz w:val="44"/>
          <w:szCs w:val="36"/>
          <w:lang w:eastAsia="zh-CN"/>
        </w:rPr>
        <w:t>压舌板</w:t>
      </w:r>
      <w:r>
        <w:rPr>
          <w:rFonts w:ascii="Times New Roman" w:hAnsi="Times New Roman" w:eastAsia="方正小标宋简体" w:cs="Times New Roman"/>
          <w:sz w:val="44"/>
          <w:szCs w:val="36"/>
        </w:rPr>
        <w:t>注册审查指导原则</w:t>
      </w:r>
    </w:p>
    <w:p w14:paraId="5C1E4653">
      <w:pPr>
        <w:overflowPunct w:val="0"/>
        <w:spacing w:line="520" w:lineRule="exact"/>
        <w:jc w:val="center"/>
        <w:rPr>
          <w:rFonts w:ascii="Times New Roman" w:hAnsi="Times New Roman" w:eastAsia="方正小标宋简体" w:cs="Times New Roman"/>
          <w:sz w:val="44"/>
          <w:szCs w:val="36"/>
        </w:rPr>
      </w:pPr>
      <w:r>
        <w:rPr>
          <w:rFonts w:hint="eastAsia" w:ascii="Times New Roman" w:hAnsi="Times New Roman" w:eastAsia="方正小标宋简体" w:cs="Times New Roman"/>
          <w:sz w:val="44"/>
          <w:szCs w:val="36"/>
        </w:rPr>
        <w:t>（</w:t>
      </w:r>
      <w:r>
        <w:rPr>
          <w:rFonts w:hint="eastAsia" w:ascii="Times New Roman" w:hAnsi="Times New Roman" w:eastAsia="方正小标宋简体" w:cs="Times New Roman"/>
          <w:sz w:val="44"/>
          <w:szCs w:val="36"/>
          <w:lang w:eastAsia="zh-CN"/>
        </w:rPr>
        <w:t>征求意见</w:t>
      </w:r>
      <w:r>
        <w:rPr>
          <w:rFonts w:hint="eastAsia" w:ascii="Times New Roman" w:hAnsi="Times New Roman" w:eastAsia="方正小标宋简体" w:cs="Times New Roman"/>
          <w:sz w:val="44"/>
          <w:szCs w:val="36"/>
        </w:rPr>
        <w:t>稿）</w:t>
      </w:r>
    </w:p>
    <w:p w14:paraId="107CD5BE">
      <w:pPr>
        <w:overflowPunct w:val="0"/>
        <w:spacing w:line="520" w:lineRule="exact"/>
        <w:jc w:val="left"/>
        <w:rPr>
          <w:rFonts w:ascii="Times New Roman" w:hAnsi="Times New Roman" w:eastAsia="仿宋_GB2312" w:cs="Times New Roman"/>
          <w:sz w:val="32"/>
          <w:szCs w:val="32"/>
        </w:rPr>
      </w:pPr>
      <w:bookmarkStart w:id="10" w:name="_GoBack"/>
      <w:bookmarkEnd w:id="10"/>
    </w:p>
    <w:p w14:paraId="2020899B">
      <w:pPr>
        <w:overflowPunct w:val="0"/>
        <w:spacing w:line="520" w:lineRule="exact"/>
        <w:ind w:firstLine="641"/>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本指导原则旨在指导注册申请人对</w:t>
      </w:r>
      <w:r>
        <w:rPr>
          <w:rFonts w:hint="eastAsia" w:ascii="Times New Roman" w:hAnsi="Times New Roman" w:eastAsia="仿宋_GB2312" w:cs="Times New Roman"/>
          <w:sz w:val="32"/>
          <w:szCs w:val="32"/>
          <w:lang w:eastAsia="zh-CN"/>
        </w:rPr>
        <w:t>压舌板</w:t>
      </w:r>
      <w:r>
        <w:rPr>
          <w:rFonts w:ascii="Times New Roman" w:hAnsi="Times New Roman" w:eastAsia="仿宋_GB2312" w:cs="Times New Roman"/>
          <w:sz w:val="32"/>
          <w:szCs w:val="32"/>
        </w:rPr>
        <w:t>注册申报资料的准备及撰写，同时也为技术审评部门审评注册申报资料提供参考。</w:t>
      </w:r>
    </w:p>
    <w:p w14:paraId="1B4BBFE6">
      <w:pPr>
        <w:overflowPunct w:val="0"/>
        <w:spacing w:line="520" w:lineRule="exact"/>
        <w:ind w:firstLine="641"/>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本指导原则是对</w:t>
      </w:r>
      <w:r>
        <w:rPr>
          <w:rFonts w:hint="eastAsia" w:ascii="Times New Roman" w:hAnsi="Times New Roman" w:eastAsia="仿宋_GB2312" w:cs="Times New Roman"/>
          <w:sz w:val="32"/>
          <w:szCs w:val="32"/>
          <w:lang w:eastAsia="zh-CN"/>
        </w:rPr>
        <w:t>压舌板</w:t>
      </w:r>
      <w:r>
        <w:rPr>
          <w:rFonts w:ascii="Times New Roman" w:hAnsi="Times New Roman" w:eastAsia="仿宋_GB2312" w:cs="Times New Roman"/>
          <w:sz w:val="32"/>
          <w:szCs w:val="32"/>
        </w:rPr>
        <w:t>的一般要求，申请人应依据产品的具体特性确定其中内容是否适用。若不适用，需具体阐述理由及相应的科学依据，并依据产品的具体特性对注册申报资料的内容进行充实和细化。</w:t>
      </w:r>
    </w:p>
    <w:p w14:paraId="440DA40F">
      <w:pPr>
        <w:overflowPunct w:val="0"/>
        <w:spacing w:line="520" w:lineRule="exact"/>
        <w:ind w:firstLine="641"/>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14:paraId="5A5BB48E">
      <w:pPr>
        <w:overflowPunct w:val="0"/>
        <w:spacing w:line="520" w:lineRule="exact"/>
        <w:ind w:firstLine="641"/>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本指导原则是在现行法规和标准体系以及当前认知水平下制定，随着法规和标准的不断完善，以及科学技术的不断发展，相关内容也将适时进行调整。</w:t>
      </w:r>
    </w:p>
    <w:p w14:paraId="0B2A9503">
      <w:pPr>
        <w:overflowPunct w:val="0"/>
        <w:spacing w:line="520" w:lineRule="exact"/>
        <w:ind w:firstLine="640" w:firstLineChars="200"/>
        <w:jc w:val="left"/>
        <w:outlineLvl w:val="0"/>
        <w:rPr>
          <w:rFonts w:ascii="Times New Roman" w:hAnsi="Times New Roman" w:eastAsia="黑体" w:cs="Times New Roman"/>
          <w:sz w:val="32"/>
          <w:szCs w:val="32"/>
        </w:rPr>
      </w:pPr>
      <w:bookmarkStart w:id="0" w:name="_Toc498607685"/>
      <w:bookmarkStart w:id="1" w:name="_Toc430332199"/>
      <w:r>
        <w:rPr>
          <w:rFonts w:ascii="Times New Roman" w:hAnsi="Times New Roman" w:eastAsia="黑体" w:cs="Times New Roman"/>
          <w:sz w:val="32"/>
          <w:szCs w:val="32"/>
        </w:rPr>
        <w:t>一、适用范围</w:t>
      </w:r>
      <w:bookmarkEnd w:id="0"/>
      <w:bookmarkEnd w:id="1"/>
    </w:p>
    <w:p w14:paraId="7BA35D5E">
      <w:pPr>
        <w:overflowPunct w:val="0"/>
        <w:spacing w:line="520" w:lineRule="exact"/>
        <w:ind w:firstLine="641"/>
        <w:rPr>
          <w:rFonts w:ascii="Times New Roman" w:hAnsi="Times New Roman" w:eastAsia="仿宋_GB2312" w:cs="Times New Roman"/>
          <w:sz w:val="32"/>
          <w:szCs w:val="32"/>
        </w:rPr>
      </w:pPr>
      <w:r>
        <w:rPr>
          <w:rFonts w:ascii="Times New Roman" w:hAnsi="Times New Roman" w:eastAsia="仿宋_GB2312" w:cs="Times New Roman"/>
          <w:sz w:val="32"/>
          <w:szCs w:val="32"/>
        </w:rPr>
        <w:t>本指导原则适用于《医疗器械分类目录》中管理类别为</w:t>
      </w:r>
      <w:r>
        <w:rPr>
          <w:rFonts w:hint="eastAsia" w:ascii="Times New Roman" w:hAnsi="Times New Roman" w:eastAsia="仿宋_GB2312" w:cs="Times New Roman"/>
          <w:sz w:val="32"/>
          <w:szCs w:val="32"/>
          <w:lang w:eastAsia="zh-CN"/>
        </w:rPr>
        <w:t>第二</w:t>
      </w:r>
      <w:r>
        <w:rPr>
          <w:rFonts w:ascii="Times New Roman" w:hAnsi="Times New Roman" w:eastAsia="仿宋_GB2312" w:cs="Times New Roman"/>
          <w:sz w:val="32"/>
          <w:szCs w:val="32"/>
        </w:rPr>
        <w:t>类的</w:t>
      </w:r>
      <w:r>
        <w:rPr>
          <w:rFonts w:hint="eastAsia" w:ascii="Times New Roman" w:hAnsi="Times New Roman" w:eastAsia="仿宋_GB2312" w:cs="Times New Roman"/>
          <w:sz w:val="32"/>
          <w:szCs w:val="32"/>
          <w:lang w:eastAsia="zh-CN"/>
        </w:rPr>
        <w:t>压舌板</w:t>
      </w:r>
      <w:r>
        <w:rPr>
          <w:rFonts w:ascii="Times New Roman" w:hAnsi="Times New Roman" w:eastAsia="仿宋_GB2312" w:cs="Times New Roman"/>
          <w:sz w:val="32"/>
          <w:szCs w:val="32"/>
        </w:rPr>
        <w:t>，分类编码为</w:t>
      </w:r>
      <w:r>
        <w:rPr>
          <w:rFonts w:hint="eastAsia" w:ascii="Times New Roman" w:hAnsi="Times New Roman" w:eastAsia="仿宋_GB2312" w:cs="Times New Roman"/>
          <w:sz w:val="32"/>
          <w:szCs w:val="32"/>
          <w:lang w:val="en-US" w:eastAsia="zh-CN"/>
        </w:rPr>
        <w:t>07-01-01</w:t>
      </w:r>
      <w:r>
        <w:rPr>
          <w:rFonts w:ascii="Times New Roman" w:hAnsi="Times New Roman" w:eastAsia="仿宋_GB2312" w:cs="Times New Roman"/>
          <w:sz w:val="32"/>
          <w:szCs w:val="32"/>
        </w:rPr>
        <w:t>（</w:t>
      </w:r>
      <w:bookmarkStart w:id="2" w:name="_Hlk131928864"/>
      <w:r>
        <w:rPr>
          <w:rFonts w:hint="eastAsia" w:ascii="Times New Roman" w:hAnsi="Times New Roman" w:eastAsia="仿宋_GB2312" w:cs="Times New Roman"/>
          <w:sz w:val="32"/>
          <w:szCs w:val="32"/>
          <w:lang w:eastAsia="zh-CN"/>
        </w:rPr>
        <w:t>医疗诊察和监</w:t>
      </w:r>
      <w:r>
        <w:rPr>
          <w:rFonts w:hint="eastAsia" w:ascii="Times New Roman" w:hAnsi="Times New Roman" w:eastAsia="仿宋_GB2312" w:cs="Times New Roman"/>
          <w:sz w:val="32"/>
          <w:szCs w:val="32"/>
        </w:rPr>
        <w:t>护器械</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诊察辅助</w:t>
      </w:r>
      <w:r>
        <w:rPr>
          <w:rFonts w:hint="eastAsia" w:ascii="Times New Roman" w:hAnsi="Times New Roman" w:eastAsia="仿宋_GB2312" w:cs="Times New Roman"/>
          <w:sz w:val="32"/>
          <w:szCs w:val="32"/>
        </w:rPr>
        <w:t>器械</w:t>
      </w:r>
      <w:bookmarkEnd w:id="2"/>
      <w:r>
        <w:rPr>
          <w:rFonts w:ascii="Times New Roman" w:hAnsi="Times New Roman" w:eastAsia="仿宋_GB2312" w:cs="Times New Roman"/>
          <w:sz w:val="32"/>
          <w:szCs w:val="32"/>
        </w:rPr>
        <w:t>）。产品</w:t>
      </w:r>
      <w:r>
        <w:rPr>
          <w:rFonts w:hint="eastAsia" w:ascii="Times New Roman" w:hAnsi="Times New Roman" w:eastAsia="仿宋_GB2312" w:cs="Times New Roman"/>
          <w:sz w:val="32"/>
          <w:szCs w:val="32"/>
          <w:lang w:val="en-US" w:eastAsia="zh-CN"/>
        </w:rPr>
        <w:t>通常由木质、竹质、高分子材质、不锈钢材质或其他材料制成，无菌提供。用于检查时压低舌部</w:t>
      </w:r>
      <w:r>
        <w:rPr>
          <w:rFonts w:hint="eastAsia" w:ascii="Times New Roman" w:hAnsi="Times New Roman" w:eastAsia="仿宋_GB2312" w:cs="Times New Roman"/>
          <w:sz w:val="32"/>
          <w:szCs w:val="32"/>
        </w:rPr>
        <w:t>。</w:t>
      </w:r>
    </w:p>
    <w:p w14:paraId="091728FC">
      <w:pPr>
        <w:overflowPunct w:val="0"/>
        <w:spacing w:line="520" w:lineRule="exact"/>
        <w:ind w:firstLine="640" w:firstLineChars="200"/>
        <w:jc w:val="left"/>
        <w:outlineLvl w:val="0"/>
        <w:rPr>
          <w:rFonts w:ascii="Times New Roman" w:hAnsi="Times New Roman" w:eastAsia="楷体_GB2312" w:cs="Times New Roman"/>
          <w:sz w:val="32"/>
          <w:szCs w:val="32"/>
        </w:rPr>
      </w:pPr>
      <w:bookmarkStart w:id="3" w:name="_Toc498607686"/>
      <w:r>
        <w:rPr>
          <w:rFonts w:ascii="Times New Roman" w:hAnsi="Times New Roman" w:eastAsia="黑体" w:cs="Times New Roman"/>
          <w:sz w:val="32"/>
          <w:szCs w:val="32"/>
        </w:rPr>
        <w:t>二、</w:t>
      </w:r>
      <w:bookmarkEnd w:id="3"/>
      <w:r>
        <w:rPr>
          <w:rFonts w:ascii="Times New Roman" w:hAnsi="Times New Roman" w:eastAsia="黑体" w:cs="Times New Roman"/>
          <w:sz w:val="32"/>
          <w:szCs w:val="32"/>
        </w:rPr>
        <w:t>注册审查要点</w:t>
      </w:r>
    </w:p>
    <w:p w14:paraId="588BF44F">
      <w:pPr>
        <w:overflowPunct w:val="0"/>
        <w:spacing w:line="520" w:lineRule="exact"/>
        <w:ind w:firstLine="640" w:firstLineChars="200"/>
        <w:rPr>
          <w:rFonts w:ascii="Times New Roman" w:hAnsi="Times New Roman" w:eastAsia="楷体_GB2312" w:cs="Times New Roman"/>
          <w:sz w:val="32"/>
          <w:szCs w:val="32"/>
        </w:rPr>
      </w:pPr>
      <w:r>
        <w:rPr>
          <w:rFonts w:hint="eastAsia"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一</w:t>
      </w:r>
      <w:r>
        <w:rPr>
          <w:rFonts w:hint="eastAsia" w:ascii="Times New Roman" w:hAnsi="Times New Roman" w:eastAsia="楷体_GB2312" w:cs="Times New Roman"/>
          <w:sz w:val="32"/>
          <w:szCs w:val="32"/>
        </w:rPr>
        <w:t>）</w:t>
      </w:r>
      <w:r>
        <w:rPr>
          <w:rFonts w:ascii="Times New Roman" w:hAnsi="Times New Roman" w:eastAsia="楷体_GB2312" w:cs="Times New Roman"/>
          <w:sz w:val="32"/>
          <w:szCs w:val="32"/>
        </w:rPr>
        <w:t>监管信息</w:t>
      </w:r>
    </w:p>
    <w:p w14:paraId="0C284D59">
      <w:pPr>
        <w:overflowPunct w:val="0"/>
        <w:autoSpaceDE w:val="0"/>
        <w:autoSpaceDN w:val="0"/>
        <w:spacing w:line="520" w:lineRule="exact"/>
        <w:ind w:firstLine="640" w:firstLineChars="200"/>
        <w:rPr>
          <w:rFonts w:ascii="Times New Roman" w:hAnsi="Times New Roman" w:eastAsia="仿宋_GB2312" w:cs="Times New Roman"/>
          <w:snapToGrid w:val="0"/>
          <w:kern w:val="0"/>
          <w:sz w:val="32"/>
          <w:szCs w:val="32"/>
        </w:rPr>
      </w:pPr>
      <w:r>
        <w:rPr>
          <w:rFonts w:ascii="Times New Roman" w:hAnsi="Times New Roman" w:eastAsia="仿宋_GB2312" w:cs="Times New Roman"/>
          <w:sz w:val="32"/>
          <w:szCs w:val="32"/>
        </w:rPr>
        <w:t>申请人应提供申请表、产品列表、既往沟通记录、主文档授权信以及其它管理信息</w:t>
      </w:r>
      <w:r>
        <w:rPr>
          <w:rFonts w:ascii="Times New Roman" w:hAnsi="Times New Roman" w:eastAsia="仿宋_GB2312" w:cs="Times New Roman"/>
          <w:snapToGrid w:val="0"/>
          <w:kern w:val="0"/>
          <w:sz w:val="32"/>
          <w:szCs w:val="32"/>
        </w:rPr>
        <w:t>。</w:t>
      </w:r>
    </w:p>
    <w:p w14:paraId="012C1039">
      <w:pPr>
        <w:overflowPunct w:val="0"/>
        <w:autoSpaceDE w:val="0"/>
        <w:autoSpaceDN w:val="0"/>
        <w:spacing w:line="520" w:lineRule="exact"/>
        <w:ind w:firstLine="640" w:firstLineChars="200"/>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rPr>
        <w:t>1.产品名称</w:t>
      </w:r>
    </w:p>
    <w:p w14:paraId="127719BA">
      <w:pPr>
        <w:overflowPunct w:val="0"/>
        <w:autoSpaceDE w:val="0"/>
        <w:autoSpaceDN w:val="0"/>
        <w:spacing w:line="520" w:lineRule="exact"/>
        <w:ind w:firstLine="640" w:firstLineChars="200"/>
        <w:rPr>
          <w:rFonts w:ascii="Times New Roman" w:hAnsi="Times New Roman" w:eastAsia="仿宋_GB2312" w:cs="Times New Roman"/>
          <w:snapToGrid w:val="0"/>
          <w:kern w:val="0"/>
          <w:sz w:val="32"/>
          <w:szCs w:val="32"/>
        </w:rPr>
      </w:pPr>
      <w:r>
        <w:rPr>
          <w:rFonts w:hint="eastAsia" w:ascii="仿宋_GB2312" w:hAnsi="仿宋_GB2312" w:eastAsia="仿宋_GB2312" w:cs="仿宋_GB2312"/>
          <w:sz w:val="32"/>
          <w:szCs w:val="32"/>
        </w:rPr>
        <w:t>产品命名需符合《医疗器械通用名称命名规则》，建议参考《医疗器械通用名称命名指导原则》和国家标准、行业标准中的通用名称要求，</w:t>
      </w:r>
      <w:r>
        <w:rPr>
          <w:rFonts w:hint="eastAsia" w:eastAsia="仿宋_GB2312"/>
          <w:sz w:val="32"/>
          <w:szCs w:val="32"/>
        </w:rPr>
        <w:t>由一个核心词和一般不超过三个特征词组成，</w:t>
      </w:r>
      <w:r>
        <w:rPr>
          <w:rFonts w:hint="eastAsia" w:ascii="Times New Roman" w:hAnsi="Times New Roman" w:eastAsia="仿宋_GB2312" w:cs="Times New Roman"/>
          <w:snapToGrid w:val="0"/>
          <w:kern w:val="0"/>
          <w:sz w:val="32"/>
          <w:szCs w:val="32"/>
        </w:rPr>
        <w:t>例如：</w:t>
      </w:r>
      <w:r>
        <w:rPr>
          <w:rFonts w:hint="eastAsia" w:ascii="Times New Roman" w:hAnsi="Times New Roman" w:eastAsia="仿宋_GB2312" w:cs="Times New Roman"/>
          <w:snapToGrid w:val="0"/>
          <w:kern w:val="0"/>
          <w:sz w:val="32"/>
          <w:szCs w:val="32"/>
          <w:lang w:eastAsia="zh-CN"/>
        </w:rPr>
        <w:t>无菌</w:t>
      </w:r>
      <w:r>
        <w:rPr>
          <w:rFonts w:hint="eastAsia" w:ascii="Times New Roman" w:hAnsi="Times New Roman" w:eastAsia="仿宋_GB2312" w:cs="Times New Roman"/>
          <w:sz w:val="32"/>
          <w:szCs w:val="32"/>
          <w:lang w:eastAsia="zh-CN"/>
        </w:rPr>
        <w:t>压舌板、一次性使用无菌压舌板</w:t>
      </w:r>
      <w:r>
        <w:rPr>
          <w:rFonts w:ascii="Times New Roman" w:hAnsi="Times New Roman" w:eastAsia="仿宋_GB2312" w:cs="Times New Roman"/>
          <w:snapToGrid w:val="0"/>
          <w:kern w:val="0"/>
          <w:sz w:val="32"/>
          <w:szCs w:val="32"/>
        </w:rPr>
        <w:t>。</w:t>
      </w:r>
    </w:p>
    <w:p w14:paraId="17F3B602">
      <w:pPr>
        <w:overflowPunct w:val="0"/>
        <w:autoSpaceDE w:val="0"/>
        <w:autoSpaceDN w:val="0"/>
        <w:spacing w:line="520" w:lineRule="exact"/>
        <w:ind w:firstLine="640" w:firstLineChars="200"/>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lang w:val="en-US" w:eastAsia="zh-CN"/>
        </w:rPr>
        <w:t>2.</w:t>
      </w:r>
      <w:r>
        <w:rPr>
          <w:rFonts w:ascii="Times New Roman" w:hAnsi="Times New Roman" w:eastAsia="仿宋_GB2312" w:cs="Times New Roman"/>
          <w:snapToGrid w:val="0"/>
          <w:kern w:val="0"/>
          <w:sz w:val="32"/>
          <w:szCs w:val="32"/>
        </w:rPr>
        <w:t>注册单元划分</w:t>
      </w:r>
      <w:r>
        <w:rPr>
          <w:rFonts w:hint="eastAsia" w:ascii="Times New Roman" w:hAnsi="Times New Roman" w:eastAsia="仿宋_GB2312" w:cs="Times New Roman"/>
          <w:snapToGrid w:val="0"/>
          <w:kern w:val="0"/>
          <w:sz w:val="32"/>
          <w:szCs w:val="32"/>
        </w:rPr>
        <w:t>的原则和实例</w:t>
      </w:r>
    </w:p>
    <w:p w14:paraId="55C8C740">
      <w:pPr>
        <w:overflowPunct w:val="0"/>
        <w:autoSpaceDE w:val="0"/>
        <w:autoSpaceDN w:val="0"/>
        <w:spacing w:line="520" w:lineRule="exact"/>
        <w:ind w:firstLine="640" w:firstLineChars="200"/>
        <w:rPr>
          <w:rFonts w:hint="eastAsia" w:ascii="Times New Roman" w:hAnsi="Times New Roman" w:eastAsia="仿宋_GB2312" w:cs="Times New Roman"/>
          <w:snapToGrid w:val="0"/>
          <w:kern w:val="0"/>
          <w:sz w:val="32"/>
          <w:szCs w:val="32"/>
          <w:lang w:eastAsia="zh-CN"/>
        </w:rPr>
      </w:pPr>
      <w:r>
        <w:rPr>
          <w:rFonts w:ascii="Times New Roman" w:hAnsi="Times New Roman" w:eastAsia="仿宋_GB2312" w:cs="Times New Roman"/>
          <w:snapToGrid w:val="0"/>
          <w:kern w:val="0"/>
          <w:sz w:val="32"/>
          <w:szCs w:val="32"/>
        </w:rPr>
        <w:t>注册单元的划分应参照《医疗器械注册单元划分指导原则》，以产品的技术原理、结构组成、性能指标和适用范围等因素为划分依据。</w:t>
      </w:r>
      <w:r>
        <w:rPr>
          <w:rFonts w:hint="eastAsia" w:ascii="Times New Roman" w:hAnsi="Times New Roman" w:eastAsia="仿宋_GB2312" w:cs="Times New Roman"/>
          <w:snapToGrid w:val="0"/>
          <w:kern w:val="0"/>
          <w:sz w:val="32"/>
          <w:szCs w:val="32"/>
        </w:rPr>
        <w:t>性能指标存在差异而影响产品安全有效性时，建议划分为不同的注册单元</w:t>
      </w:r>
      <w:r>
        <w:rPr>
          <w:rFonts w:hint="eastAsia" w:ascii="Times New Roman" w:hAnsi="Times New Roman" w:eastAsia="仿宋_GB2312" w:cs="Times New Roman"/>
          <w:snapToGrid w:val="0"/>
          <w:kern w:val="0"/>
          <w:sz w:val="32"/>
          <w:szCs w:val="32"/>
          <w:lang w:eastAsia="zh-CN"/>
        </w:rPr>
        <w:t>。</w:t>
      </w:r>
    </w:p>
    <w:p w14:paraId="7B9A28EA">
      <w:pPr>
        <w:overflowPunct w:val="0"/>
        <w:autoSpaceDE w:val="0"/>
        <w:autoSpaceDN w:val="0"/>
        <w:spacing w:line="520" w:lineRule="exact"/>
        <w:ind w:firstLine="640" w:firstLineChars="200"/>
        <w:rPr>
          <w:rFonts w:hint="eastAsia" w:ascii="Times New Roman" w:hAnsi="Times New Roman" w:eastAsia="仿宋_GB2312" w:cs="Times New Roman"/>
          <w:snapToGrid w:val="0"/>
          <w:kern w:val="0"/>
          <w:sz w:val="32"/>
          <w:szCs w:val="32"/>
          <w:lang w:eastAsia="zh-CN"/>
        </w:rPr>
      </w:pPr>
      <w:r>
        <w:rPr>
          <w:rFonts w:hint="eastAsia" w:ascii="Times New Roman" w:hAnsi="Times New Roman" w:eastAsia="仿宋_GB2312" w:cs="Times New Roman"/>
          <w:snapToGrid w:val="0"/>
          <w:kern w:val="0"/>
          <w:sz w:val="32"/>
          <w:szCs w:val="32"/>
          <w:lang w:eastAsia="zh-CN"/>
        </w:rPr>
        <w:t>例如：</w:t>
      </w:r>
      <w:r>
        <w:rPr>
          <w:rFonts w:hint="eastAsia" w:ascii="Times New Roman" w:hAnsi="Times New Roman" w:eastAsia="仿宋_GB2312" w:cs="Times New Roman"/>
          <w:snapToGrid w:val="0"/>
          <w:kern w:val="0"/>
          <w:sz w:val="32"/>
          <w:szCs w:val="32"/>
        </w:rPr>
        <w:t>产品主要部件原材料不同建议划分为不同注册单元。如木质（竹质）、高分子材质及不锈钢材质等产品均需划分为不同注册单元。</w:t>
      </w:r>
    </w:p>
    <w:p w14:paraId="1EE7FD56">
      <w:pPr>
        <w:overflowPunct w:val="0"/>
        <w:autoSpaceDE w:val="0"/>
        <w:autoSpaceDN w:val="0"/>
        <w:spacing w:line="520" w:lineRule="exact"/>
        <w:ind w:firstLine="640" w:firstLineChars="200"/>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lang w:val="en-US" w:eastAsia="zh-CN"/>
        </w:rPr>
        <w:t>3</w:t>
      </w:r>
      <w:r>
        <w:rPr>
          <w:rFonts w:ascii="Times New Roman" w:hAnsi="Times New Roman" w:eastAsia="仿宋_GB2312" w:cs="Times New Roman"/>
          <w:snapToGrid w:val="0"/>
          <w:kern w:val="0"/>
          <w:sz w:val="32"/>
          <w:szCs w:val="32"/>
        </w:rPr>
        <w:t>.型号规格</w:t>
      </w:r>
    </w:p>
    <w:p w14:paraId="10BD544C">
      <w:pPr>
        <w:overflowPunct w:val="0"/>
        <w:autoSpaceDE w:val="0"/>
        <w:autoSpaceDN w:val="0"/>
        <w:spacing w:line="520" w:lineRule="exact"/>
        <w:ind w:firstLine="640" w:firstLineChars="200"/>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需提供产品各型号规格的划分原则。对于存在多种型号、规格的产品，需明确各型号、规格的区别。需采用对比表及带有说明性文字的图片、图表，对各种型号、规格的结构组成、功能、产品特征、性能指标等方面加以描述。</w:t>
      </w:r>
    </w:p>
    <w:p w14:paraId="7CDF114C">
      <w:pPr>
        <w:overflowPunct w:val="0"/>
        <w:autoSpaceDE w:val="0"/>
        <w:autoSpaceDN w:val="0"/>
        <w:spacing w:line="520" w:lineRule="exact"/>
        <w:ind w:firstLine="640" w:firstLineChars="200"/>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lang w:val="en-US" w:eastAsia="zh-CN"/>
        </w:rPr>
        <w:t>4</w:t>
      </w:r>
      <w:r>
        <w:rPr>
          <w:rFonts w:ascii="Times New Roman" w:hAnsi="Times New Roman" w:eastAsia="仿宋_GB2312" w:cs="Times New Roman"/>
          <w:snapToGrid w:val="0"/>
          <w:kern w:val="0"/>
          <w:sz w:val="32"/>
          <w:szCs w:val="32"/>
        </w:rPr>
        <w:t>.结构组成</w:t>
      </w:r>
    </w:p>
    <w:p w14:paraId="190399DC">
      <w:pPr>
        <w:overflowPunct w:val="0"/>
        <w:spacing w:line="52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压舌板产品通常由木质、竹质、高分子材质、不锈钢材质或其他材料制成。无菌提供。</w:t>
      </w:r>
    </w:p>
    <w:p w14:paraId="13E739BD">
      <w:pPr>
        <w:overflowPunct w:val="0"/>
        <w:spacing w:line="52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其结构示意图及实物照片如下所示：</w:t>
      </w:r>
    </w:p>
    <w:p w14:paraId="3CD01BC5">
      <w:pPr>
        <w:pStyle w:val="13"/>
        <w:rPr>
          <w:rFonts w:hint="eastAsia"/>
          <w:lang w:eastAsia="zh-CN"/>
        </w:rPr>
      </w:pPr>
      <w:r>
        <w:rPr>
          <w:rFonts w:hint="eastAsia"/>
          <w:lang w:val="en-US" w:eastAsia="zh-CN"/>
        </w:rPr>
        <w:drawing>
          <wp:inline distT="0" distB="0" distL="114300" distR="114300">
            <wp:extent cx="5537835" cy="3696335"/>
            <wp:effectExtent l="0" t="0" r="9525" b="6985"/>
            <wp:docPr id="1" name="图片 1" descr="177883651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78836512321"/>
                    <pic:cNvPicPr>
                      <a:picLocks noChangeAspect="1"/>
                    </pic:cNvPicPr>
                  </pic:nvPicPr>
                  <pic:blipFill>
                    <a:blip r:embed="rId5"/>
                    <a:stretch>
                      <a:fillRect/>
                    </a:stretch>
                  </pic:blipFill>
                  <pic:spPr>
                    <a:xfrm>
                      <a:off x="0" y="0"/>
                      <a:ext cx="5537835" cy="3696335"/>
                    </a:xfrm>
                    <a:prstGeom prst="rect">
                      <a:avLst/>
                    </a:prstGeom>
                  </pic:spPr>
                </pic:pic>
              </a:graphicData>
            </a:graphic>
          </wp:inline>
        </w:drawing>
      </w:r>
    </w:p>
    <w:p w14:paraId="6F9DE6C2">
      <w:pPr>
        <w:pStyle w:val="13"/>
        <w:rPr>
          <w:rFonts w:hint="default"/>
          <w:lang w:val="en-US" w:eastAsia="zh-CN"/>
        </w:rPr>
      </w:pPr>
    </w:p>
    <w:p w14:paraId="64209011">
      <w:pPr>
        <w:spacing w:line="520" w:lineRule="exact"/>
        <w:ind w:right="-67" w:rightChars="-32"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二</w:t>
      </w:r>
      <w:r>
        <w:rPr>
          <w:rFonts w:ascii="Times New Roman" w:hAnsi="Times New Roman" w:eastAsia="楷体_GB2312" w:cs="Times New Roman"/>
          <w:sz w:val="32"/>
          <w:szCs w:val="32"/>
        </w:rPr>
        <w:t>）综述资料</w:t>
      </w:r>
    </w:p>
    <w:p w14:paraId="22FDD95A">
      <w:pPr>
        <w:overflowPunct w:val="0"/>
        <w:autoSpaceDE w:val="0"/>
        <w:autoSpaceDN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napToGrid w:val="0"/>
          <w:kern w:val="0"/>
          <w:sz w:val="32"/>
          <w:szCs w:val="32"/>
        </w:rPr>
        <w:t>1.器械及操作原理描述</w:t>
      </w:r>
    </w:p>
    <w:p w14:paraId="0CABB8C1">
      <w:pPr>
        <w:overflowPunct w:val="0"/>
        <w:autoSpaceDE w:val="0"/>
        <w:autoSpaceDN w:val="0"/>
        <w:spacing w:line="520" w:lineRule="exact"/>
        <w:ind w:firstLine="640" w:firstLineChars="200"/>
        <w:rPr>
          <w:rFonts w:hint="eastAsia" w:ascii="Times New Roman" w:hAnsi="Times New Roman" w:eastAsia="仿宋_GB2312" w:cs="Times New Roman"/>
          <w:snapToGrid w:val="0"/>
          <w:kern w:val="0"/>
          <w:sz w:val="32"/>
          <w:szCs w:val="32"/>
          <w:lang w:val="en-US" w:eastAsia="zh-CN"/>
        </w:rPr>
      </w:pPr>
      <w:r>
        <w:rPr>
          <w:rFonts w:hint="eastAsia" w:ascii="Times New Roman" w:hAnsi="Times New Roman" w:eastAsia="仿宋_GB2312" w:cs="Times New Roman"/>
          <w:snapToGrid w:val="0"/>
          <w:kern w:val="0"/>
          <w:sz w:val="32"/>
          <w:szCs w:val="32"/>
          <w:lang w:val="en-US" w:eastAsia="zh-CN"/>
        </w:rPr>
        <w:t>1.1提供产品各型号的几何结构外形图，充分描述产品结构信息。</w:t>
      </w:r>
    </w:p>
    <w:p w14:paraId="54481F7B">
      <w:pPr>
        <w:overflowPunct w:val="0"/>
        <w:autoSpaceDE w:val="0"/>
        <w:autoSpaceDN w:val="0"/>
        <w:spacing w:line="520" w:lineRule="exact"/>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snapToGrid w:val="0"/>
          <w:kern w:val="0"/>
          <w:sz w:val="32"/>
          <w:szCs w:val="32"/>
          <w:lang w:val="en-US" w:eastAsia="zh-CN"/>
        </w:rPr>
        <w:t>1.2申报资料中需明确相关材料牌号/商品名及符合的标准。</w:t>
      </w:r>
    </w:p>
    <w:p w14:paraId="7F33764D">
      <w:pPr>
        <w:overflowPunct w:val="0"/>
        <w:spacing w:line="52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1.3</w:t>
      </w:r>
      <w:r>
        <w:rPr>
          <w:rFonts w:ascii="Times New Roman" w:hAnsi="Times New Roman" w:eastAsia="仿宋_GB2312" w:cs="Times New Roman"/>
          <w:sz w:val="32"/>
          <w:szCs w:val="32"/>
        </w:rPr>
        <w:t>产品</w:t>
      </w:r>
      <w:r>
        <w:rPr>
          <w:rFonts w:hint="eastAsia" w:ascii="Times New Roman" w:hAnsi="Times New Roman" w:eastAsia="仿宋_GB2312" w:cs="Times New Roman"/>
          <w:sz w:val="32"/>
          <w:szCs w:val="32"/>
          <w:lang w:val="en-US" w:eastAsia="zh-CN"/>
        </w:rPr>
        <w:t>工作原理</w:t>
      </w:r>
    </w:p>
    <w:p w14:paraId="228078E8">
      <w:pPr>
        <w:overflowPunct w:val="0"/>
        <w:spacing w:line="52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用于检查时压低舌部，便于临床观察。</w:t>
      </w:r>
    </w:p>
    <w:p w14:paraId="0E50E031">
      <w:pPr>
        <w:overflowPunct w:val="0"/>
        <w:spacing w:line="52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1.4提供产品结构及关键尺寸的设计依据，使用方法及图示（如适用），区别于其他同类产品的特征等内容。必要时提供图示说明。</w:t>
      </w:r>
    </w:p>
    <w:p w14:paraId="28FBCAF9">
      <w:pPr>
        <w:overflowPunct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.产品的</w:t>
      </w:r>
      <w:r>
        <w:rPr>
          <w:rFonts w:hint="eastAsia" w:ascii="仿宋_GB2312" w:hAnsi="仿宋_GB2312" w:eastAsia="仿宋_GB2312" w:cs="仿宋_GB2312"/>
          <w:sz w:val="32"/>
          <w:szCs w:val="32"/>
        </w:rPr>
        <w:t>预期使用环境</w:t>
      </w:r>
      <w:r>
        <w:rPr>
          <w:rFonts w:hint="eastAsia" w:ascii="仿宋_GB2312" w:hAnsi="仿宋_GB2312" w:eastAsia="仿宋_GB2312" w:cs="仿宋_GB2312"/>
          <w:sz w:val="32"/>
          <w:szCs w:val="32"/>
          <w:lang w:eastAsia="zh-CN"/>
        </w:rPr>
        <w:t>、</w:t>
      </w:r>
      <w:r>
        <w:rPr>
          <w:rFonts w:ascii="Times New Roman" w:hAnsi="Times New Roman" w:eastAsia="仿宋_GB2312" w:cs="Times New Roman"/>
          <w:sz w:val="32"/>
          <w:szCs w:val="32"/>
        </w:rPr>
        <w:t>适用人群、禁忌证</w:t>
      </w:r>
    </w:p>
    <w:p w14:paraId="4687508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bookmarkStart w:id="4" w:name="_Toc430332201"/>
      <w:bookmarkStart w:id="5" w:name="_Toc498607690"/>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预期使用环境：产品预期用于医疗</w:t>
      </w:r>
      <w:r>
        <w:rPr>
          <w:rFonts w:hint="eastAsia" w:ascii="仿宋_GB2312" w:hAnsi="仿宋_GB2312" w:eastAsia="仿宋_GB2312" w:cs="仿宋_GB2312"/>
          <w:sz w:val="32"/>
          <w:szCs w:val="32"/>
          <w:lang w:eastAsia="zh-CN"/>
        </w:rPr>
        <w:t>机构使</w:t>
      </w:r>
      <w:r>
        <w:rPr>
          <w:rFonts w:hint="eastAsia" w:ascii="仿宋_GB2312" w:hAnsi="仿宋_GB2312" w:eastAsia="仿宋_GB2312" w:cs="仿宋_GB2312"/>
          <w:sz w:val="32"/>
          <w:szCs w:val="32"/>
        </w:rPr>
        <w:t>用。</w:t>
      </w:r>
    </w:p>
    <w:p w14:paraId="64A5C85E">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适用人群：咽喉肿痛、扁桃体发炎、上呼吸道感染患者等</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如对使用者有特殊要求，应注明。</w:t>
      </w:r>
    </w:p>
    <w:p w14:paraId="27D5DDF5">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2.3禁忌证：</w:t>
      </w:r>
      <w:r>
        <w:rPr>
          <w:rFonts w:hint="eastAsia" w:ascii="Times New Roman" w:hAnsi="Times New Roman" w:eastAsia="仿宋_GB2312" w:cs="Times New Roman"/>
          <w:sz w:val="32"/>
          <w:szCs w:val="32"/>
        </w:rPr>
        <w:t>禁忌证至少包含对产品</w:t>
      </w:r>
      <w:r>
        <w:rPr>
          <w:rFonts w:hint="eastAsia" w:ascii="Times New Roman" w:hAnsi="Times New Roman" w:eastAsia="仿宋_GB2312" w:cs="Times New Roman"/>
          <w:sz w:val="32"/>
          <w:szCs w:val="32"/>
          <w:lang w:eastAsia="zh-CN"/>
        </w:rPr>
        <w:t>材质</w:t>
      </w:r>
      <w:r>
        <w:rPr>
          <w:rFonts w:hint="eastAsia" w:ascii="Times New Roman" w:hAnsi="Times New Roman" w:eastAsia="仿宋_GB2312" w:cs="Times New Roman"/>
          <w:sz w:val="32"/>
          <w:szCs w:val="32"/>
        </w:rPr>
        <w:t>过敏者禁用</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包装如有破损，严禁使用</w:t>
      </w:r>
      <w:r>
        <w:rPr>
          <w:rFonts w:hint="eastAsia" w:ascii="Times New Roman" w:hAnsi="Times New Roman" w:eastAsia="仿宋_GB2312" w:cs="Times New Roman"/>
          <w:sz w:val="32"/>
          <w:szCs w:val="32"/>
          <w:lang w:eastAsia="zh-CN"/>
        </w:rPr>
        <w:t>等</w:t>
      </w:r>
      <w:r>
        <w:rPr>
          <w:rFonts w:hint="eastAsia" w:ascii="仿宋_GB2312" w:hAnsi="仿宋_GB2312" w:eastAsia="仿宋_GB2312" w:cs="仿宋_GB2312"/>
          <w:sz w:val="32"/>
          <w:szCs w:val="32"/>
        </w:rPr>
        <w:t>。</w:t>
      </w:r>
    </w:p>
    <w:p w14:paraId="3D147BDA">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3.包装说明</w:t>
      </w:r>
    </w:p>
    <w:p w14:paraId="61C5CC45">
      <w:pPr>
        <w:overflowPunct w:val="0"/>
        <w:spacing w:line="520" w:lineRule="exact"/>
        <w:ind w:firstLine="640" w:firstLineChars="200"/>
        <w:rPr>
          <w:rFonts w:hint="eastAsia" w:ascii="仿宋_GB2312" w:hAnsi="仿宋_GB2312" w:eastAsia="仿宋_GB2312" w:cs="仿宋_GB2312"/>
          <w:sz w:val="32"/>
          <w:szCs w:val="32"/>
          <w:lang w:eastAsia="zh-CN"/>
        </w:rPr>
      </w:pPr>
      <w:r>
        <w:rPr>
          <w:rFonts w:ascii="Times New Roman" w:hAnsi="Times New Roman" w:eastAsia="仿宋_GB2312" w:cs="Times New Roman"/>
          <w:sz w:val="32"/>
          <w:szCs w:val="32"/>
        </w:rPr>
        <w:t>说明产品的包装层次，写明产品各层次包装（初包装、中包装、大包装）的信息，包括包装所用材料及包装所载明的信息</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sz w:val="32"/>
          <w:szCs w:val="32"/>
        </w:rPr>
        <w:t>无菌屏障系统</w:t>
      </w:r>
      <w:r>
        <w:rPr>
          <w:rFonts w:hint="eastAsia" w:ascii="仿宋_GB2312" w:hAnsi="仿宋_GB2312" w:eastAsia="仿宋_GB2312" w:cs="仿宋_GB2312"/>
          <w:sz w:val="32"/>
          <w:szCs w:val="32"/>
          <w:lang w:eastAsia="zh-CN"/>
        </w:rPr>
        <w:t>及</w:t>
      </w:r>
      <w:r>
        <w:rPr>
          <w:rFonts w:ascii="Times New Roman" w:hAnsi="Times New Roman" w:eastAsia="仿宋_GB2312" w:cs="Times New Roman"/>
          <w:sz w:val="32"/>
          <w:szCs w:val="32"/>
        </w:rPr>
        <w:t>样图</w:t>
      </w:r>
      <w:r>
        <w:rPr>
          <w:rFonts w:hint="eastAsia" w:ascii="仿宋_GB2312" w:hAnsi="仿宋_GB2312" w:eastAsia="仿宋_GB2312" w:cs="仿宋_GB2312"/>
          <w:sz w:val="32"/>
          <w:szCs w:val="32"/>
        </w:rPr>
        <w:t>等信息</w:t>
      </w:r>
      <w:r>
        <w:rPr>
          <w:rFonts w:hint="eastAsia" w:ascii="仿宋_GB2312" w:hAnsi="仿宋_GB2312" w:eastAsia="仿宋_GB2312" w:cs="仿宋_GB2312"/>
          <w:sz w:val="32"/>
          <w:szCs w:val="32"/>
          <w:lang w:eastAsia="zh-CN"/>
        </w:rPr>
        <w:t>。</w:t>
      </w:r>
    </w:p>
    <w:p w14:paraId="41D2F215">
      <w:pPr>
        <w:keepNext w:val="0"/>
        <w:keepLines w:val="0"/>
        <w:pageBreakBefore w:val="0"/>
        <w:kinsoku/>
        <w:wordWrap/>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bCs/>
          <w:sz w:val="32"/>
          <w:szCs w:val="32"/>
        </w:rPr>
        <w:t>研发历程</w:t>
      </w:r>
    </w:p>
    <w:p w14:paraId="5C834889">
      <w:pPr>
        <w:keepNext w:val="0"/>
        <w:keepLines w:val="0"/>
        <w:pageBreakBefore w:val="0"/>
        <w:kinsoku/>
        <w:wordWrap/>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阐述</w:t>
      </w:r>
      <w:r>
        <w:rPr>
          <w:rFonts w:hint="eastAsia" w:ascii="仿宋_GB2312" w:hAnsi="仿宋_GB2312" w:eastAsia="仿宋_GB2312" w:cs="仿宋_GB2312"/>
          <w:bCs/>
          <w:sz w:val="32"/>
          <w:szCs w:val="32"/>
          <w:lang w:val="en-US" w:eastAsia="zh-CN"/>
        </w:rPr>
        <w:t>产品</w:t>
      </w:r>
      <w:r>
        <w:rPr>
          <w:rFonts w:hint="eastAsia" w:ascii="仿宋_GB2312" w:hAnsi="仿宋_GB2312" w:eastAsia="仿宋_GB2312" w:cs="仿宋_GB2312"/>
          <w:bCs/>
          <w:sz w:val="32"/>
          <w:szCs w:val="32"/>
        </w:rPr>
        <w:t>的研发背景和目的。如有参考的同类产品或前代产品，应当提供同类产品或前代产品的信息，并说明选择其作为研发参考的原因。</w:t>
      </w:r>
    </w:p>
    <w:p w14:paraId="7D346720">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5.与同类和/或前代产品的参考和比较</w:t>
      </w:r>
    </w:p>
    <w:p w14:paraId="7D1A6703">
      <w:pPr>
        <w:keepNext w:val="0"/>
        <w:keepLines w:val="0"/>
        <w:pageBreakBefore w:val="0"/>
        <w:kinsoku/>
        <w:wordWrap/>
        <w:topLinePunct w:val="0"/>
        <w:autoSpaceDE/>
        <w:autoSpaceDN/>
        <w:bidi w:val="0"/>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比较说明申报产品与已上市器械（即同类产品和/或前代产品）的异同，比较的项目包括预期用途、工作原理、结构组成、原材料、生产工艺、灭菌方式、性能指标、作用方式、货架有效期以及适用范围等，建议以列表方式列出。</w:t>
      </w:r>
    </w:p>
    <w:p w14:paraId="55D2C26F">
      <w:pPr>
        <w:pStyle w:val="3"/>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如与参考的同类产品和</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或前代产品存在</w:t>
      </w:r>
      <w:r>
        <w:rPr>
          <w:rFonts w:hint="eastAsia" w:ascii="仿宋_GB2312" w:hAnsi="仿宋_GB2312" w:eastAsia="仿宋_GB2312" w:cs="仿宋_GB2312"/>
          <w:sz w:val="32"/>
          <w:szCs w:val="32"/>
        </w:rPr>
        <w:t>差异，需结合差异及产品风险管理资料、安全和性能基本原则清单要求，分析差异是否需要额外的特殊的安全性有效性评价。</w:t>
      </w:r>
    </w:p>
    <w:p w14:paraId="39530478">
      <w:pPr>
        <w:pStyle w:val="3"/>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6.申报产品的全球上市历程</w:t>
      </w:r>
    </w:p>
    <w:p w14:paraId="58082EEB">
      <w:pPr>
        <w:keepNext w:val="0"/>
        <w:keepLines w:val="0"/>
        <w:pageBreakBefore w:val="0"/>
        <w:kinsoku/>
        <w:wordWrap/>
        <w:overflowPunct/>
        <w:topLinePunct w:val="0"/>
        <w:autoSpaceDE/>
        <w:autoSpaceDN/>
        <w:bidi w:val="0"/>
        <w:spacing w:line="520" w:lineRule="exact"/>
        <w:ind w:firstLine="640"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如适用，应当提交申报产品在各国家或地区的上市批准时间、销售情况，不良事件和召回情况。</w:t>
      </w:r>
    </w:p>
    <w:p w14:paraId="4CFCE003">
      <w:pPr>
        <w:overflowPunct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7.不良事件情况（如适用）</w:t>
      </w:r>
    </w:p>
    <w:p w14:paraId="1C2AA97C">
      <w:pPr>
        <w:overflowPunct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应当提交申报产品的上市、销售、不良事件和召回等相关情况分析资料。</w:t>
      </w:r>
    </w:p>
    <w:p w14:paraId="2BB4BE15">
      <w:pPr>
        <w:spacing w:line="520" w:lineRule="exact"/>
        <w:ind w:right="-67" w:rightChars="-32"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三</w:t>
      </w:r>
      <w:r>
        <w:rPr>
          <w:rFonts w:ascii="Times New Roman" w:hAnsi="Times New Roman" w:eastAsia="楷体_GB2312" w:cs="Times New Roman"/>
          <w:sz w:val="32"/>
          <w:szCs w:val="32"/>
        </w:rPr>
        <w:t>）非临床资料</w:t>
      </w:r>
    </w:p>
    <w:p w14:paraId="52F722FA">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‌产品风险管理资料‌</w:t>
      </w:r>
    </w:p>
    <w:p w14:paraId="12024E49">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注册申请人需对产品全生命周期实施风险管理，提交风险管理资料，参照GB/T 42062《医疗器械风险管理对医疗器械的应用》。注册申请人在产品注册上市前根据产品特点系统识别从原材料采购、生产、灭菌、运输、储存到临床使用及用后处置全过程的所有已知或可预见的风险进行判定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风险估计、评价和控制。评审需至少确保：风险管理计划已被适当地实施，综合剩余风险是可接受的。评审结果需形成风险管理报告。申报资料格式需符合现行有效的《医疗器械注册申报资料要求和批准证明文件格式》的要求。</w:t>
      </w:r>
    </w:p>
    <w:p w14:paraId="6E35E214">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产品在进行风险分析时至少应包括以下的主要危害（见附</w:t>
      </w:r>
      <w:r>
        <w:rPr>
          <w:rFonts w:hint="eastAsia" w:ascii="仿宋_GB2312" w:hAnsi="仿宋_GB2312" w:eastAsia="仿宋_GB2312" w:cs="仿宋_GB2312"/>
          <w:sz w:val="32"/>
          <w:szCs w:val="32"/>
          <w:lang w:eastAsia="zh-CN"/>
        </w:rPr>
        <w:t>表</w:t>
      </w:r>
      <w:r>
        <w:rPr>
          <w:rFonts w:hint="eastAsia" w:ascii="仿宋_GB2312" w:hAnsi="仿宋_GB2312" w:eastAsia="仿宋_GB2312" w:cs="仿宋_GB2312"/>
          <w:sz w:val="32"/>
          <w:szCs w:val="32"/>
          <w:lang w:val="en-US" w:eastAsia="zh-CN"/>
        </w:rPr>
        <w:t>1 产品主要危害）</w:t>
      </w:r>
      <w:r>
        <w:rPr>
          <w:rFonts w:hint="eastAsia" w:ascii="仿宋_GB2312" w:hAnsi="仿宋_GB2312" w:eastAsia="仿宋_GB2312" w:cs="仿宋_GB2312"/>
          <w:sz w:val="32"/>
          <w:szCs w:val="32"/>
        </w:rPr>
        <w:t>。</w:t>
      </w:r>
    </w:p>
    <w:p w14:paraId="1042F68D">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bCs/>
          <w:sz w:val="32"/>
          <w:szCs w:val="32"/>
        </w:rPr>
        <w:t>医疗器械安全和性能基本原则清单</w:t>
      </w:r>
    </w:p>
    <w:p w14:paraId="7CA98D96">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说明</w:t>
      </w:r>
      <w:r>
        <w:rPr>
          <w:rFonts w:hint="eastAsia" w:ascii="仿宋_GB2312" w:hAnsi="仿宋_GB2312" w:eastAsia="仿宋_GB2312" w:cs="仿宋_GB2312"/>
          <w:sz w:val="32"/>
          <w:szCs w:val="32"/>
          <w:lang w:val="en-US" w:eastAsia="zh-CN"/>
        </w:rPr>
        <w:t>产品</w:t>
      </w:r>
      <w:r>
        <w:rPr>
          <w:rFonts w:hint="eastAsia" w:ascii="仿宋_GB2312" w:hAnsi="仿宋_GB2312" w:eastAsia="仿宋_GB2312" w:cs="仿宋_GB2312"/>
          <w:sz w:val="32"/>
          <w:szCs w:val="32"/>
        </w:rPr>
        <w:t>符合《医疗器械安全和性能基本原则清单》各项适用要求所采用的方法，以及证明其符合性的文件。对于不适用的各项要求，应当说明理由。</w:t>
      </w:r>
    </w:p>
    <w:p w14:paraId="4717CD41">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‌产品技术要求及检验报告：‌</w:t>
      </w:r>
    </w:p>
    <w:bookmarkEnd w:id="4"/>
    <w:bookmarkEnd w:id="5"/>
    <w:p w14:paraId="25DC5DDC">
      <w:pPr>
        <w:overflowPunct w:val="0"/>
        <w:spacing w:line="520" w:lineRule="exact"/>
        <w:ind w:firstLine="640" w:firstLineChars="200"/>
        <w:jc w:val="left"/>
        <w:rPr>
          <w:rFonts w:ascii="Times New Roman" w:hAnsi="Times New Roman" w:eastAsia="仿宋_GB2312" w:cs="Times New Roman"/>
          <w:sz w:val="32"/>
          <w:szCs w:val="32"/>
        </w:rPr>
      </w:pPr>
      <w:bookmarkStart w:id="6" w:name="_Toc498607692"/>
      <w:r>
        <w:rPr>
          <w:rFonts w:ascii="Times New Roman" w:hAnsi="Times New Roman" w:eastAsia="仿宋_GB2312" w:cs="Times New Roman"/>
          <w:sz w:val="32"/>
          <w:szCs w:val="32"/>
        </w:rPr>
        <w:t>产品技术要求的制定应符合《医疗器械产品技术要求编写指导原则》的要求。本指导原则给出</w:t>
      </w:r>
      <w:r>
        <w:rPr>
          <w:rFonts w:hint="eastAsia" w:ascii="Times New Roman" w:hAnsi="Times New Roman" w:eastAsia="仿宋_GB2312" w:cs="Times New Roman"/>
          <w:sz w:val="32"/>
          <w:szCs w:val="32"/>
          <w:lang w:eastAsia="zh-CN"/>
        </w:rPr>
        <w:t>压舌板</w:t>
      </w:r>
      <w:r>
        <w:rPr>
          <w:rFonts w:ascii="Times New Roman" w:hAnsi="Times New Roman" w:eastAsia="仿宋_GB2312" w:cs="Times New Roman"/>
          <w:sz w:val="32"/>
          <w:szCs w:val="32"/>
        </w:rPr>
        <w:t>需要考虑的产品基本技术性能指标，申请人</w:t>
      </w:r>
      <w:r>
        <w:rPr>
          <w:rFonts w:hint="eastAsia" w:ascii="Times New Roman" w:hAnsi="Times New Roman" w:eastAsia="仿宋_GB2312" w:cs="Times New Roman"/>
          <w:sz w:val="32"/>
          <w:szCs w:val="32"/>
          <w:lang w:eastAsia="zh-CN"/>
        </w:rPr>
        <w:t>需</w:t>
      </w:r>
      <w:r>
        <w:rPr>
          <w:rFonts w:ascii="Times New Roman" w:hAnsi="Times New Roman" w:eastAsia="仿宋_GB2312" w:cs="Times New Roman"/>
          <w:sz w:val="32"/>
          <w:szCs w:val="32"/>
        </w:rPr>
        <w:t>根据产品的技术特点和</w:t>
      </w:r>
      <w:r>
        <w:rPr>
          <w:rFonts w:hint="eastAsia" w:ascii="Times New Roman" w:hAnsi="Times New Roman" w:eastAsia="仿宋_GB2312" w:cs="Times New Roman"/>
          <w:sz w:val="32"/>
          <w:szCs w:val="32"/>
          <w:lang w:eastAsia="zh-CN"/>
        </w:rPr>
        <w:t>临床</w:t>
      </w:r>
      <w:r>
        <w:rPr>
          <w:rFonts w:ascii="Times New Roman" w:hAnsi="Times New Roman" w:eastAsia="仿宋_GB2312" w:cs="Times New Roman"/>
          <w:sz w:val="32"/>
          <w:szCs w:val="32"/>
        </w:rPr>
        <w:t>用途制定相应的性能指标，且性能指标不得低于强制性国家标准、行业标准。</w:t>
      </w:r>
      <w:r>
        <w:rPr>
          <w:rFonts w:hint="eastAsia" w:ascii="Times New Roman" w:hAnsi="Times New Roman" w:eastAsia="仿宋_GB2312" w:cs="Times New Roman"/>
          <w:sz w:val="32"/>
          <w:szCs w:val="32"/>
          <w:lang w:eastAsia="zh-CN"/>
        </w:rPr>
        <w:t>如</w:t>
      </w:r>
      <w:r>
        <w:rPr>
          <w:rFonts w:hint="eastAsia" w:ascii="Times New Roman" w:hAnsi="Times New Roman" w:eastAsia="仿宋_GB2312" w:cs="Times New Roman"/>
          <w:sz w:val="32"/>
          <w:szCs w:val="32"/>
        </w:rPr>
        <w:t>无相应国家标准、行业标准要求，申请人需依据产品的技术特征和临床使用情况来确定产品安全有效的技术指标和检验方法并在研究资料中提供验证资料。</w:t>
      </w:r>
    </w:p>
    <w:p w14:paraId="680676D3">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.1产品型号/规格及其划分的说明</w:t>
      </w:r>
    </w:p>
    <w:p w14:paraId="0D6B8784">
      <w:pPr>
        <w:overflowPunct w:val="0"/>
        <w:spacing w:line="52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明确产品型号/规格，阐明各型号/规格间的区别及划分说明，型号/规格的表述应与全部注册申报资料保持一致，并提供结构示意图。</w:t>
      </w:r>
    </w:p>
    <w:p w14:paraId="45EDFEE4">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3.2</w:t>
      </w:r>
      <w:r>
        <w:rPr>
          <w:rFonts w:hint="eastAsia" w:ascii="Times New Roman" w:hAnsi="Times New Roman" w:eastAsia="仿宋_GB2312" w:cs="Times New Roman"/>
          <w:sz w:val="32"/>
          <w:szCs w:val="32"/>
          <w:lang w:val="en-US" w:eastAsia="zh-CN"/>
        </w:rPr>
        <w:t>性能指标</w:t>
      </w:r>
    </w:p>
    <w:p w14:paraId="5658595A">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3.2.1木质、竹质压舌板产品性能指标至少应包括以下几点：</w:t>
      </w:r>
    </w:p>
    <w:p w14:paraId="247F8506">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3.2.1.1外观（</w:t>
      </w:r>
      <w:r>
        <w:rPr>
          <w:rFonts w:hint="eastAsia" w:ascii="Times New Roman" w:hAnsi="Times New Roman" w:eastAsia="仿宋_GB2312" w:cs="Times New Roman"/>
          <w:sz w:val="32"/>
          <w:szCs w:val="32"/>
        </w:rPr>
        <w:t>含压舌板疤节数量</w:t>
      </w:r>
      <w:r>
        <w:rPr>
          <w:rFonts w:hint="eastAsia" w:ascii="Times New Roman" w:hAnsi="Times New Roman" w:eastAsia="仿宋_GB2312" w:cs="Times New Roman"/>
          <w:sz w:val="32"/>
          <w:szCs w:val="32"/>
          <w:lang w:val="en-US" w:eastAsia="zh-CN"/>
        </w:rPr>
        <w:t>）</w:t>
      </w:r>
    </w:p>
    <w:p w14:paraId="4AC57EB5">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3.2.1.2尺寸；</w:t>
      </w:r>
    </w:p>
    <w:p w14:paraId="159AB0AF">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3.2.1.3韧性；</w:t>
      </w:r>
    </w:p>
    <w:p w14:paraId="6A78F5A0">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3.2.1.4折断力；</w:t>
      </w:r>
    </w:p>
    <w:p w14:paraId="016680E7">
      <w:pPr>
        <w:overflowPunct w:val="0"/>
        <w:spacing w:line="520" w:lineRule="exact"/>
        <w:ind w:firstLine="640" w:firstLineChars="200"/>
        <w:jc w:val="lef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3.2.1.5无菌；</w:t>
      </w:r>
    </w:p>
    <w:p w14:paraId="42CE2D13">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3.2.1.6化学性能：酸碱度；环氧乙烷残留量（如适用）；若产品含有硫熏工艺，应制定二氧化硫残留（如适用）。</w:t>
      </w:r>
    </w:p>
    <w:p w14:paraId="1D845FE1">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3.2.2高分子材质压舌板产品性能指标至少应包括以下几点：</w:t>
      </w:r>
    </w:p>
    <w:p w14:paraId="11DE5BA1">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3.2.2.1外观；</w:t>
      </w:r>
    </w:p>
    <w:p w14:paraId="34F07CA0">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3.2.2.2尺寸；</w:t>
      </w:r>
    </w:p>
    <w:p w14:paraId="44235482">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3.2.2.3折断力；</w:t>
      </w:r>
    </w:p>
    <w:p w14:paraId="790080B9">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3.2.2.4韧性；</w:t>
      </w:r>
    </w:p>
    <w:p w14:paraId="70EB2AC7">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3.2.2.5无菌；</w:t>
      </w:r>
    </w:p>
    <w:p w14:paraId="38E4AB3D">
      <w:pPr>
        <w:overflowPunct w:val="0"/>
        <w:spacing w:line="520" w:lineRule="exact"/>
        <w:ind w:firstLine="640" w:firstLineChars="200"/>
        <w:jc w:val="lef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3.2.2.6化学性能：酸碱度、环氧乙烷残留量（如适用）。</w:t>
      </w:r>
    </w:p>
    <w:p w14:paraId="40AA3FD2">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3.2.3不锈钢材质压舌板产品性能指标至少应包括以下几点：</w:t>
      </w:r>
    </w:p>
    <w:p w14:paraId="5B07D8C6">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3.2.3.1外观；</w:t>
      </w:r>
    </w:p>
    <w:p w14:paraId="71AAFD50">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3.2.3.2尺寸；</w:t>
      </w:r>
    </w:p>
    <w:p w14:paraId="7D08E262">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3.2.3.3硬度；</w:t>
      </w:r>
    </w:p>
    <w:p w14:paraId="5AF8B7A6">
      <w:pPr>
        <w:overflowPunct w:val="0"/>
        <w:spacing w:line="520" w:lineRule="exact"/>
        <w:ind w:firstLine="640" w:firstLineChars="200"/>
        <w:jc w:val="lef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3.2.3.4</w:t>
      </w:r>
      <w:r>
        <w:rPr>
          <w:rFonts w:hint="eastAsia" w:ascii="Times New Roman" w:hAnsi="Times New Roman" w:eastAsia="仿宋_GB2312" w:cs="Times New Roman"/>
          <w:sz w:val="32"/>
          <w:szCs w:val="32"/>
          <w:lang w:eastAsia="zh-CN"/>
        </w:rPr>
        <w:t>耐腐蚀性；</w:t>
      </w:r>
    </w:p>
    <w:p w14:paraId="0A1C250C">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3.2.3.5无菌；</w:t>
      </w:r>
    </w:p>
    <w:p w14:paraId="78460104">
      <w:pPr>
        <w:overflowPunct w:val="0"/>
        <w:spacing w:line="52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3.2.3.6</w:t>
      </w:r>
      <w:r>
        <w:rPr>
          <w:rFonts w:hint="eastAsia" w:ascii="Times New Roman" w:hAnsi="Times New Roman" w:eastAsia="仿宋_GB2312" w:cs="Times New Roman"/>
          <w:sz w:val="32"/>
          <w:szCs w:val="32"/>
          <w:lang w:eastAsia="zh-CN"/>
        </w:rPr>
        <w:t>化学性能：酸碱度、重金属；环氧乙烷残留量（如适用）。</w:t>
      </w:r>
    </w:p>
    <w:p w14:paraId="2827BCC5">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3.2.4根据产品宣称的技术特点制定的其他性能要求。</w:t>
      </w:r>
    </w:p>
    <w:p w14:paraId="0B3C5578">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3.3检验方法</w:t>
      </w:r>
    </w:p>
    <w:p w14:paraId="3B899C64">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企业</w:t>
      </w:r>
      <w:r>
        <w:rPr>
          <w:rFonts w:hint="eastAsia" w:ascii="Times New Roman" w:hAnsi="Times New Roman" w:eastAsia="仿宋_GB2312" w:cs="Times New Roman"/>
          <w:sz w:val="32"/>
          <w:szCs w:val="32"/>
          <w:lang w:eastAsia="zh-CN"/>
        </w:rPr>
        <w:t>可</w:t>
      </w:r>
      <w:r>
        <w:rPr>
          <w:rFonts w:hint="eastAsia" w:ascii="Times New Roman" w:hAnsi="Times New Roman" w:eastAsia="仿宋_GB2312" w:cs="Times New Roman"/>
          <w:sz w:val="32"/>
          <w:szCs w:val="32"/>
        </w:rPr>
        <w:t>参照相关标准制定试验方法，如《中华人民共和国药典》</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YY/T 0149、</w:t>
      </w:r>
      <w:r>
        <w:rPr>
          <w:rFonts w:hint="eastAsia" w:ascii="Times New Roman" w:hAnsi="Times New Roman" w:eastAsia="仿宋_GB2312" w:cs="Times New Roman"/>
          <w:sz w:val="32"/>
          <w:szCs w:val="32"/>
        </w:rPr>
        <w:t>GB/T 1031</w:t>
      </w:r>
      <w:r>
        <w:rPr>
          <w:rFonts w:hint="eastAsia" w:ascii="Times New Roman" w:hAnsi="Times New Roman" w:eastAsia="仿宋_GB2312" w:cs="Times New Roman"/>
          <w:sz w:val="32"/>
          <w:szCs w:val="32"/>
          <w:lang w:val="en-US" w:eastAsia="zh-CN"/>
        </w:rPr>
        <w:t>等。</w:t>
      </w:r>
    </w:p>
    <w:p w14:paraId="7C96DA6D">
      <w:pPr>
        <w:overflowPunct w:val="0"/>
        <w:spacing w:line="520" w:lineRule="exact"/>
        <w:ind w:firstLine="640" w:firstLineChars="200"/>
        <w:jc w:val="lef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3.4</w:t>
      </w:r>
      <w:r>
        <w:rPr>
          <w:rFonts w:hint="eastAsia" w:ascii="Times New Roman" w:hAnsi="Times New Roman" w:eastAsia="仿宋_GB2312" w:cs="Times New Roman"/>
          <w:sz w:val="32"/>
          <w:szCs w:val="32"/>
        </w:rPr>
        <w:t>检验报告</w:t>
      </w:r>
    </w:p>
    <w:p w14:paraId="0760BFBF">
      <w:pPr>
        <w:overflowPunct w:val="0"/>
        <w:spacing w:line="520" w:lineRule="exact"/>
        <w:ind w:firstLine="640" w:firstLineChars="200"/>
        <w:jc w:val="left"/>
        <w:outlineLvl w:val="0"/>
        <w:rPr>
          <w:rFonts w:ascii="Times New Roman" w:hAnsi="Times New Roman" w:eastAsia="仿宋_GB2312" w:cs="Times New Roman"/>
          <w:bCs/>
          <w:kern w:val="2"/>
          <w:sz w:val="32"/>
          <w:szCs w:val="32"/>
          <w:highlight w:val="yellow"/>
        </w:rPr>
      </w:pPr>
      <w:r>
        <w:rPr>
          <w:rFonts w:hint="eastAsia" w:ascii="Times New Roman" w:hAnsi="Times New Roman" w:eastAsia="仿宋_GB2312" w:cs="Times New Roman"/>
          <w:bCs/>
          <w:kern w:val="2"/>
          <w:sz w:val="32"/>
          <w:szCs w:val="32"/>
        </w:rPr>
        <w:t>可提交以下任一形式的检验报告：申请人出具的自检报告或委托有资质的医疗器械检验机构出具的检验报告。</w:t>
      </w:r>
    </w:p>
    <w:p w14:paraId="03276946">
      <w:pPr>
        <w:overflowPunct w:val="0"/>
        <w:spacing w:line="520" w:lineRule="exact"/>
        <w:ind w:firstLine="640" w:firstLineChars="200"/>
        <w:jc w:val="lef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若提供自检报告，应按照《医疗器械自检管理规定》的要求提供相关资料。</w:t>
      </w:r>
    </w:p>
    <w:p w14:paraId="7EE64204">
      <w:pPr>
        <w:overflowPunct w:val="0"/>
        <w:spacing w:line="520" w:lineRule="exact"/>
        <w:ind w:firstLine="664" w:firstLineChars="200"/>
        <w:jc w:val="left"/>
        <w:outlineLvl w:val="0"/>
        <w:rPr>
          <w:rFonts w:hint="eastAsia" w:ascii="仿宋_GB2312" w:hAnsi="仿宋_GB2312" w:eastAsia="仿宋_GB2312" w:cs="仿宋_GB2312"/>
          <w:sz w:val="32"/>
          <w:szCs w:val="32"/>
          <w:lang w:val="en-US" w:eastAsia="zh-CN"/>
        </w:rPr>
      </w:pPr>
      <w:r>
        <w:rPr>
          <w:rFonts w:hint="eastAsia" w:ascii="Times New Roman" w:hAnsi="Times New Roman" w:eastAsia="仿宋_GB2312"/>
          <w:bCs/>
          <w:spacing w:val="6"/>
          <w:sz w:val="32"/>
          <w:szCs w:val="32"/>
        </w:rPr>
        <w:t>检验的</w:t>
      </w:r>
      <w:r>
        <w:rPr>
          <w:rFonts w:hint="eastAsia" w:ascii="Times New Roman" w:hAnsi="Times New Roman" w:eastAsia="仿宋_GB2312"/>
          <w:bCs/>
          <w:sz w:val="32"/>
          <w:szCs w:val="32"/>
        </w:rPr>
        <w:t>典型性型号是包含全部原材料和组件、结构最复杂、使用性能可以覆盖本注册单元其他型号的产品。</w:t>
      </w:r>
      <w:r>
        <w:rPr>
          <w:rFonts w:hint="eastAsia" w:ascii="Times New Roman" w:hAnsi="Times New Roman" w:eastAsia="仿宋_GB2312"/>
          <w:bCs/>
          <w:spacing w:val="6"/>
          <w:sz w:val="32"/>
          <w:szCs w:val="32"/>
        </w:rPr>
        <w:t>提供典型性型号说明。</w:t>
      </w:r>
      <w:r>
        <w:rPr>
          <w:rFonts w:hint="eastAsia" w:ascii="Times New Roman" w:hAnsi="Times New Roman" w:eastAsia="仿宋_GB2312" w:cs="Times New Roman"/>
          <w:sz w:val="32"/>
          <w:szCs w:val="32"/>
        </w:rPr>
        <w:t>具有差异的产品应进行差异性检测</w:t>
      </w:r>
      <w:r>
        <w:rPr>
          <w:rFonts w:hint="eastAsia" w:ascii="Times New Roman" w:hAnsi="Times New Roman" w:eastAsia="仿宋_GB2312" w:cs="Times New Roman"/>
          <w:sz w:val="32"/>
          <w:szCs w:val="32"/>
          <w:lang w:eastAsia="zh-CN"/>
        </w:rPr>
        <w:t>。</w:t>
      </w:r>
    </w:p>
    <w:p w14:paraId="25C3D467">
      <w:pPr>
        <w:overflowPunct w:val="0"/>
        <w:spacing w:line="520" w:lineRule="exact"/>
        <w:ind w:firstLine="640" w:firstLineChars="200"/>
        <w:jc w:val="left"/>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4.研究资料</w:t>
      </w:r>
    </w:p>
    <w:p w14:paraId="64B84B6B">
      <w:pPr>
        <w:overflowPunct w:val="0"/>
        <w:spacing w:line="520" w:lineRule="exact"/>
        <w:ind w:firstLine="640" w:firstLineChars="200"/>
        <w:jc w:val="left"/>
        <w:outlineLvl w:val="0"/>
        <w:rPr>
          <w:rFonts w:hint="eastAsia" w:ascii="Times New Roman" w:hAnsi="Times New Roman" w:eastAsia="仿宋_GB2312" w:cs="Times New Roman"/>
          <w:sz w:val="32"/>
          <w:szCs w:val="32"/>
          <w:lang w:val="en-US" w:eastAsia="zh-CN"/>
        </w:rPr>
      </w:pPr>
      <w:bookmarkStart w:id="7" w:name="_Toc498607698"/>
      <w:r>
        <w:rPr>
          <w:rFonts w:hint="eastAsia" w:ascii="Times New Roman" w:hAnsi="Times New Roman" w:eastAsia="仿宋_GB2312" w:cs="Times New Roman"/>
          <w:sz w:val="32"/>
          <w:szCs w:val="32"/>
          <w:lang w:val="en-US" w:eastAsia="zh-CN"/>
        </w:rPr>
        <w:t>4.1原材料控制</w:t>
      </w:r>
    </w:p>
    <w:p w14:paraId="0D3241D2">
      <w:pPr>
        <w:overflowPunct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说明原材料的选择依据，明确产品的起始材料，列明产品生产过程中由起始材料至终产品所需全部材料（包括添加剂、助剂等）的基本信息，如名称、供应商、符合的标准（如适用）等。产品组成材料可以列表的形式提供，并与产品结构图示中标识的部件一一对应。若产品组成材料为混合物的，应明确各组分及其比例。</w:t>
      </w:r>
    </w:p>
    <w:p w14:paraId="5C13CD56">
      <w:pPr>
        <w:overflowPunct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原材料应具有稳定的供货渠道以保证产品质量，所用原材料的质量控制标准和研究资料。</w:t>
      </w:r>
    </w:p>
    <w:p w14:paraId="7EB930FC">
      <w:pPr>
        <w:overflowPunct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对于首次应用于医疗器械的新材料，应提供该材料适合用于产品预期用途的相关研究资料，可参考提供该材料适于人体使用的相关研究资料，如新材料的生物相容性研究资料，毒理学分析，临床应用史等。</w:t>
      </w:r>
    </w:p>
    <w:p w14:paraId="21991E19">
      <w:pPr>
        <w:overflowPunct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.2产品性能研究</w:t>
      </w:r>
      <w:bookmarkEnd w:id="7"/>
    </w:p>
    <w:p w14:paraId="0A2463F3">
      <w:pPr>
        <w:overflowPunct w:val="0"/>
        <w:spacing w:line="52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应当提供产品化学/材料表征、物理、性能指标及检验方法的确定依据、设计输入来源以及临床意义，所采用的标准或方法、采用的原因及理论基础。</w:t>
      </w:r>
    </w:p>
    <w:p w14:paraId="311B23F7">
      <w:pPr>
        <w:overflowPunct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生物学特性研究</w:t>
      </w:r>
    </w:p>
    <w:p w14:paraId="793F8787">
      <w:pPr>
        <w:overflowPunct w:val="0"/>
        <w:spacing w:line="520" w:lineRule="exact"/>
        <w:ind w:firstLine="640" w:firstLineChars="200"/>
        <w:rPr>
          <w:rFonts w:ascii="Times New Roman" w:hAnsi="Times New Roman" w:eastAsia="仿宋_GB2312" w:cs="Times New Roman"/>
          <w:kern w:val="0"/>
          <w:sz w:val="32"/>
          <w:szCs w:val="32"/>
        </w:rPr>
      </w:pPr>
      <w:bookmarkStart w:id="8" w:name="_Toc498607700"/>
      <w:r>
        <w:rPr>
          <w:rFonts w:hint="eastAsia" w:ascii="Times New Roman" w:hAnsi="Times New Roman" w:eastAsia="仿宋_GB2312" w:cs="Times New Roman"/>
          <w:kern w:val="0"/>
          <w:sz w:val="32"/>
          <w:szCs w:val="32"/>
        </w:rPr>
        <w:t>按照GB/T 16886.1《医疗器械生物学评价第1部分：风险管理过程中的评价与试验》、《关于印发医疗器械生物学评价和审查指南的通知》要求开展生物相容性评价，</w:t>
      </w:r>
      <w:r>
        <w:rPr>
          <w:rFonts w:ascii="Times New Roman" w:hAnsi="Times New Roman" w:eastAsia="仿宋_GB2312" w:cs="Times New Roman"/>
          <w:kern w:val="0"/>
          <w:sz w:val="32"/>
          <w:szCs w:val="32"/>
        </w:rPr>
        <w:t>生物相容性评价研究资料应当包括：生物相容性评价的依据</w:t>
      </w:r>
      <w:r>
        <w:rPr>
          <w:rFonts w:hint="eastAsia" w:ascii="Times New Roman" w:hAnsi="Times New Roman" w:eastAsia="仿宋_GB2312" w:cs="Times New Roman"/>
          <w:kern w:val="0"/>
          <w:sz w:val="32"/>
          <w:szCs w:val="32"/>
        </w:rPr>
        <w:t>、项目</w:t>
      </w:r>
      <w:r>
        <w:rPr>
          <w:rFonts w:ascii="Times New Roman" w:hAnsi="Times New Roman" w:eastAsia="仿宋_GB2312" w:cs="Times New Roman"/>
          <w:kern w:val="0"/>
          <w:sz w:val="32"/>
          <w:szCs w:val="32"/>
        </w:rPr>
        <w:t>和方法</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产品所用材料的描述及与人体接触的性质和时间；实施或豁免生物学试验的理由和论证</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对于现有数据或试验结果的评价。</w:t>
      </w:r>
    </w:p>
    <w:p w14:paraId="153F4D37">
      <w:pPr>
        <w:overflowPunct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本指导原则中的</w:t>
      </w:r>
      <w:r>
        <w:rPr>
          <w:rFonts w:hint="eastAsia" w:ascii="Times New Roman" w:hAnsi="Times New Roman" w:eastAsia="仿宋_GB2312" w:cs="Times New Roman"/>
          <w:kern w:val="0"/>
          <w:sz w:val="32"/>
          <w:szCs w:val="32"/>
          <w:lang w:eastAsia="zh-CN"/>
        </w:rPr>
        <w:t>压舌板</w:t>
      </w:r>
      <w:r>
        <w:rPr>
          <w:rFonts w:hint="eastAsia" w:ascii="Times New Roman" w:hAnsi="Times New Roman" w:eastAsia="仿宋_GB2312" w:cs="Times New Roman"/>
          <w:kern w:val="0"/>
          <w:sz w:val="32"/>
          <w:szCs w:val="32"/>
        </w:rPr>
        <w:t>属于与</w:t>
      </w:r>
      <w:r>
        <w:rPr>
          <w:rFonts w:hint="eastAsia" w:ascii="Times New Roman" w:hAnsi="Times New Roman" w:eastAsia="仿宋_GB2312" w:cs="Times New Roman"/>
          <w:kern w:val="0"/>
          <w:sz w:val="32"/>
          <w:szCs w:val="32"/>
          <w:lang w:eastAsia="zh-CN"/>
        </w:rPr>
        <w:t>黏膜短</w:t>
      </w:r>
      <w:r>
        <w:rPr>
          <w:rFonts w:hint="eastAsia" w:ascii="Times New Roman" w:hAnsi="Times New Roman" w:eastAsia="仿宋_GB2312" w:cs="Times New Roman"/>
          <w:kern w:val="0"/>
          <w:sz w:val="32"/>
          <w:szCs w:val="32"/>
        </w:rPr>
        <w:t>期接触（≤24小时）的表面接触器械，</w:t>
      </w:r>
      <w:r>
        <w:rPr>
          <w:rFonts w:ascii="Times New Roman" w:hAnsi="Times New Roman" w:eastAsia="仿宋_GB2312" w:cs="Times New Roman"/>
          <w:kern w:val="0"/>
          <w:sz w:val="32"/>
          <w:szCs w:val="32"/>
        </w:rPr>
        <w:t>开展生物学评价，应按照GB/T 16886.1《医疗器械生物学评价第1部分：风险管理过程中的评价与试验》标准进行评价，</w:t>
      </w:r>
      <w:r>
        <w:rPr>
          <w:rFonts w:hint="eastAsia" w:ascii="Times New Roman" w:hAnsi="Times New Roman" w:eastAsia="仿宋_GB2312" w:cs="Times New Roman"/>
          <w:kern w:val="0"/>
          <w:sz w:val="32"/>
          <w:szCs w:val="32"/>
          <w:lang w:eastAsia="zh-CN"/>
        </w:rPr>
        <w:t>评价项目</w:t>
      </w:r>
      <w:r>
        <w:rPr>
          <w:rFonts w:ascii="Times New Roman" w:hAnsi="Times New Roman" w:eastAsia="仿宋_GB2312" w:cs="Times New Roman"/>
          <w:kern w:val="0"/>
          <w:sz w:val="32"/>
          <w:szCs w:val="32"/>
        </w:rPr>
        <w:t>至少</w:t>
      </w:r>
      <w:r>
        <w:rPr>
          <w:rFonts w:hint="eastAsia" w:ascii="Times New Roman" w:hAnsi="Times New Roman" w:eastAsia="仿宋_GB2312" w:cs="Times New Roman"/>
          <w:kern w:val="0"/>
          <w:sz w:val="32"/>
          <w:szCs w:val="32"/>
          <w:lang w:eastAsia="zh-CN"/>
        </w:rPr>
        <w:t>需</w:t>
      </w:r>
      <w:r>
        <w:rPr>
          <w:rFonts w:hint="eastAsia" w:ascii="Times New Roman" w:hAnsi="Times New Roman" w:eastAsia="仿宋_GB2312" w:cs="Times New Roman"/>
          <w:kern w:val="0"/>
          <w:sz w:val="32"/>
          <w:szCs w:val="32"/>
        </w:rPr>
        <w:t>包括</w:t>
      </w:r>
      <w:r>
        <w:rPr>
          <w:rFonts w:ascii="Times New Roman" w:hAnsi="Times New Roman" w:eastAsia="仿宋_GB2312" w:cs="Times New Roman"/>
          <w:kern w:val="0"/>
          <w:sz w:val="32"/>
          <w:szCs w:val="32"/>
        </w:rPr>
        <w:t>细胞毒性、</w:t>
      </w:r>
      <w:r>
        <w:rPr>
          <w:rFonts w:hint="eastAsia" w:ascii="Times New Roman" w:hAnsi="Times New Roman" w:eastAsia="仿宋_GB2312" w:cs="Times New Roman"/>
          <w:kern w:val="0"/>
          <w:sz w:val="32"/>
          <w:szCs w:val="32"/>
          <w:lang w:eastAsia="zh-CN"/>
        </w:rPr>
        <w:t>口腔黏膜</w:t>
      </w:r>
      <w:r>
        <w:rPr>
          <w:rFonts w:ascii="Times New Roman" w:hAnsi="Times New Roman" w:eastAsia="仿宋_GB2312" w:cs="Times New Roman"/>
          <w:kern w:val="0"/>
          <w:sz w:val="32"/>
          <w:szCs w:val="32"/>
        </w:rPr>
        <w:t>刺激</w:t>
      </w:r>
      <w:r>
        <w:rPr>
          <w:rFonts w:hint="eastAsia" w:ascii="Times New Roman" w:hAnsi="Times New Roman" w:eastAsia="仿宋_GB2312" w:cs="Times New Roman"/>
          <w:kern w:val="0"/>
          <w:sz w:val="32"/>
          <w:szCs w:val="32"/>
        </w:rPr>
        <w:t>反应</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致</w:t>
      </w:r>
      <w:r>
        <w:rPr>
          <w:rFonts w:ascii="Times New Roman" w:hAnsi="Times New Roman" w:eastAsia="仿宋_GB2312" w:cs="Times New Roman"/>
          <w:kern w:val="0"/>
          <w:sz w:val="32"/>
          <w:szCs w:val="32"/>
        </w:rPr>
        <w:t>敏反应。</w:t>
      </w:r>
    </w:p>
    <w:p w14:paraId="38820488">
      <w:pPr>
        <w:overflowPunct w:val="0"/>
        <w:spacing w:line="520" w:lineRule="exact"/>
        <w:ind w:firstLine="640" w:firstLineChars="200"/>
        <w:rPr>
          <w:rFonts w:ascii="Times New Roman" w:hAnsi="Times New Roman" w:eastAsia="楷体_GB2312" w:cs="Times New Roman"/>
          <w:sz w:val="32"/>
          <w:szCs w:val="32"/>
        </w:rPr>
      </w:pPr>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rPr>
        <w:t>.4</w:t>
      </w:r>
      <w:bookmarkEnd w:id="8"/>
      <w:r>
        <w:rPr>
          <w:rFonts w:hint="eastAsia" w:ascii="Times New Roman" w:hAnsi="Times New Roman" w:eastAsia="仿宋_GB2312" w:cs="Times New Roman"/>
          <w:kern w:val="0"/>
          <w:sz w:val="32"/>
          <w:szCs w:val="32"/>
        </w:rPr>
        <w:t>灭菌工艺研究</w:t>
      </w:r>
    </w:p>
    <w:p w14:paraId="6EF4AF2B">
      <w:pPr>
        <w:overflowPunct w:val="0"/>
        <w:spacing w:line="520" w:lineRule="exact"/>
        <w:ind w:firstLine="640" w:firstLineChars="200"/>
        <w:rPr>
          <w:rFonts w:ascii="Times New Roman" w:hAnsi="Times New Roman" w:eastAsia="仿宋_GB2312" w:cs="Times New Roman"/>
          <w:kern w:val="0"/>
          <w:sz w:val="32"/>
          <w:szCs w:val="32"/>
        </w:rPr>
      </w:pPr>
      <w:bookmarkStart w:id="9" w:name="_Toc498607701"/>
      <w:r>
        <w:rPr>
          <w:rFonts w:hint="eastAsia" w:ascii="Times New Roman" w:hAnsi="Times New Roman" w:eastAsia="仿宋_GB2312" w:cs="Times New Roman"/>
          <w:kern w:val="0"/>
          <w:sz w:val="32"/>
          <w:szCs w:val="32"/>
        </w:rPr>
        <w:t>如产品无菌供应，</w:t>
      </w:r>
      <w:r>
        <w:rPr>
          <w:rFonts w:ascii="Times New Roman" w:hAnsi="Times New Roman" w:eastAsia="仿宋_GB2312" w:cs="Times New Roman"/>
          <w:kern w:val="0"/>
          <w:sz w:val="32"/>
          <w:szCs w:val="32"/>
        </w:rPr>
        <w:t>应明确灭菌工艺（方法和参数）及其选择依据和无菌保证水平（SAL），并提供灭菌确认报告，无菌保证水平（SAL）应保证达到1×10</w:t>
      </w:r>
      <w:r>
        <w:rPr>
          <w:rFonts w:ascii="Times New Roman" w:hAnsi="Times New Roman" w:eastAsia="仿宋_GB2312" w:cs="Times New Roman"/>
          <w:kern w:val="0"/>
          <w:sz w:val="32"/>
          <w:szCs w:val="32"/>
          <w:vertAlign w:val="superscript"/>
        </w:rPr>
        <w:t>-6</w:t>
      </w:r>
      <w:r>
        <w:rPr>
          <w:rFonts w:ascii="Times New Roman" w:hAnsi="Times New Roman" w:eastAsia="仿宋_GB2312" w:cs="Times New Roman"/>
          <w:kern w:val="0"/>
          <w:sz w:val="32"/>
          <w:szCs w:val="32"/>
        </w:rPr>
        <w:t>。灭菌过程的选择应至少考虑以下因素：产品与灭菌过程的适应性；包装材料与灭菌过程的适应性；灭菌对产品安全有效性的影响。</w:t>
      </w:r>
    </w:p>
    <w:p w14:paraId="3BF0F5B0">
      <w:pPr>
        <w:overflowPunct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若灭菌使用的方法容易出现残留，如环氧乙烷灭菌，应当明确残留物信息及采取的处理方法，并提供环氧乙烷解析的研究资料。</w:t>
      </w:r>
    </w:p>
    <w:p w14:paraId="260E3E86">
      <w:pPr>
        <w:overflowPunct w:val="0"/>
        <w:spacing w:line="52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rPr>
        <w:t>.5</w:t>
      </w:r>
      <w:bookmarkEnd w:id="9"/>
      <w:r>
        <w:rPr>
          <w:rFonts w:hint="eastAsia" w:ascii="Times New Roman" w:hAnsi="Times New Roman" w:eastAsia="仿宋_GB2312" w:cs="Times New Roman"/>
          <w:kern w:val="0"/>
          <w:sz w:val="32"/>
          <w:szCs w:val="32"/>
        </w:rPr>
        <w:t>产品稳定性</w:t>
      </w:r>
    </w:p>
    <w:p w14:paraId="0B816F81">
      <w:pPr>
        <w:overflowPunct w:val="0"/>
        <w:spacing w:line="520" w:lineRule="exact"/>
        <w:ind w:firstLine="640" w:firstLineChars="200"/>
        <w:rPr>
          <w:rFonts w:ascii="Times New Roman" w:hAnsi="Times New Roman" w:eastAsia="仿宋" w:cs="Times New Roman"/>
          <w:sz w:val="32"/>
          <w:szCs w:val="32"/>
        </w:rPr>
      </w:pP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.5.1</w:t>
      </w:r>
      <w:r>
        <w:rPr>
          <w:rFonts w:hint="eastAsia" w:ascii="Times New Roman" w:hAnsi="Times New Roman" w:eastAsia="仿宋_GB2312" w:cs="Times New Roman"/>
          <w:kern w:val="0"/>
          <w:sz w:val="32"/>
          <w:szCs w:val="32"/>
        </w:rPr>
        <w:t>货架有效期</w:t>
      </w:r>
    </w:p>
    <w:p w14:paraId="7F9F4CA6">
      <w:pPr>
        <w:overflowPunct w:val="0"/>
        <w:spacing w:line="520" w:lineRule="exact"/>
        <w:ind w:firstLine="640" w:firstLineChars="200"/>
        <w:jc w:val="left"/>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货架有效期包括产品有效期和包装有效期。产品有效期研究可采用加速老化或实时老化的研究，加速老化研究可参考YY/T 0681.1《无菌医疗器械包装试验方法第1部分：加速老化试验指南》。有效期验证方案中应设定验证项目、验证方法及判定标准。验证项目包括产品自身性能验证和包装系统性能验证两方面。</w:t>
      </w:r>
    </w:p>
    <w:p w14:paraId="1D4C83A1">
      <w:pPr>
        <w:overflowPunct w:val="0"/>
        <w:spacing w:line="520" w:lineRule="exact"/>
        <w:ind w:firstLine="640" w:firstLineChars="200"/>
        <w:jc w:val="left"/>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.5.2包装及包装完整性</w:t>
      </w:r>
    </w:p>
    <w:p w14:paraId="1B626CC4">
      <w:pPr>
        <w:overflowPunct w:val="0"/>
        <w:spacing w:line="520" w:lineRule="exact"/>
        <w:ind w:firstLine="640" w:firstLineChars="200"/>
        <w:jc w:val="left"/>
        <w:outlineLvl w:val="0"/>
        <w:rPr>
          <w:rFonts w:ascii="Times New Roman" w:hAnsi="Times New Roman" w:eastAsia="仿宋_GB2312" w:cs="Times New Roman"/>
          <w:sz w:val="32"/>
          <w:szCs w:val="32"/>
        </w:rPr>
      </w:pPr>
      <w:r>
        <w:rPr>
          <w:rFonts w:ascii="Times New Roman" w:hAnsi="Times New Roman" w:eastAsia="仿宋_GB2312" w:cs="Times New Roman"/>
          <w:sz w:val="32"/>
          <w:szCs w:val="32"/>
        </w:rPr>
        <w:t>应明确产品的内包装形式并确保包装在宣称的运输储存条件下，在产品有效期内能够对产品起到防护作用并保持产品清洁。产品包装验证可依据有关标准进行（</w:t>
      </w:r>
      <w:r>
        <w:rPr>
          <w:rFonts w:hint="eastAsia" w:ascii="Times New Roman" w:hAnsi="Times New Roman" w:eastAsia="仿宋_GB2312" w:cs="Times New Roman"/>
          <w:sz w:val="32"/>
          <w:szCs w:val="32"/>
        </w:rPr>
        <w:t>如GB/T19633系列标准</w:t>
      </w:r>
      <w:r>
        <w:rPr>
          <w:rFonts w:ascii="Times New Roman" w:hAnsi="Times New Roman" w:eastAsia="仿宋_GB2312" w:cs="Times New Roman"/>
          <w:sz w:val="32"/>
          <w:szCs w:val="32"/>
        </w:rPr>
        <w:t>），提交产品的包装验证报告。包装材料的选择应考虑以下因素：包装材料的物理化学性能；</w:t>
      </w:r>
      <w:r>
        <w:rPr>
          <w:rFonts w:hint="eastAsia" w:ascii="Times New Roman" w:hAnsi="Times New Roman" w:eastAsia="仿宋_GB2312" w:cs="Times New Roman"/>
          <w:sz w:val="32"/>
          <w:szCs w:val="32"/>
        </w:rPr>
        <w:t>包装材料所能提供的物理、化学和微生物屏障保护</w:t>
      </w:r>
      <w:r>
        <w:rPr>
          <w:rFonts w:ascii="Times New Roman" w:hAnsi="Times New Roman" w:eastAsia="仿宋_GB2312" w:cs="Times New Roman"/>
          <w:sz w:val="32"/>
          <w:szCs w:val="32"/>
        </w:rPr>
        <w:t>；包装材料与成型和密封过程的适应性；包装材料与产品的适应性；包装材料与标签系统的适应性；包装材料与贮存运输过程的适合性；包装有效期。包装验证的资料内容应与包装说明中给出的信息相符。</w:t>
      </w:r>
    </w:p>
    <w:p w14:paraId="29F3544D">
      <w:pPr>
        <w:overflowPunct w:val="0"/>
        <w:spacing w:line="520" w:lineRule="exact"/>
        <w:ind w:firstLine="640" w:firstLineChars="200"/>
        <w:jc w:val="left"/>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提交运输稳定性研究资料，证明在生产企业规定的运输条件下，运输过程中的环境条件（例如：震动、振动、温度和湿度的波动）不会对医疗器械的特性和性能，包括完整性和清洁度，造成不利影响。</w:t>
      </w:r>
    </w:p>
    <w:p w14:paraId="76F5D12E">
      <w:pPr>
        <w:overflowPunct w:val="0"/>
        <w:spacing w:line="520" w:lineRule="exact"/>
        <w:ind w:firstLine="640" w:firstLineChars="200"/>
        <w:jc w:val="left"/>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其他资料</w:t>
      </w:r>
    </w:p>
    <w:p w14:paraId="4F66CF4A">
      <w:pPr>
        <w:overflowPunct w:val="0"/>
        <w:spacing w:line="520" w:lineRule="exact"/>
        <w:ind w:firstLine="640" w:firstLineChars="200"/>
        <w:jc w:val="left"/>
        <w:outlineLvl w:val="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压舌板</w:t>
      </w:r>
      <w:r>
        <w:rPr>
          <w:rFonts w:hint="eastAsia" w:ascii="Times New Roman" w:hAnsi="Times New Roman" w:eastAsia="仿宋_GB2312" w:cs="Times New Roman"/>
          <w:sz w:val="32"/>
          <w:szCs w:val="32"/>
        </w:rPr>
        <w:t>已列入《免于临床评价医疗器械目录》（以下简称目录），申请人需提交申报产品相关信息与《目录》所述内容的对比资料和申报产品与已获准境内注册的《目录》中医疗器械的对比说明。具体可按照《列入免于临床评价医疗器械目录产品对比说明技术指导原则》要求提交。</w:t>
      </w:r>
    </w:p>
    <w:p w14:paraId="362B3435">
      <w:pPr>
        <w:spacing w:line="520" w:lineRule="exact"/>
        <w:ind w:right="-67" w:rightChars="-32"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四</w:t>
      </w:r>
      <w:r>
        <w:rPr>
          <w:rFonts w:ascii="Times New Roman" w:hAnsi="Times New Roman" w:eastAsia="楷体_GB2312" w:cs="Times New Roman"/>
          <w:sz w:val="32"/>
          <w:szCs w:val="32"/>
        </w:rPr>
        <w:t>）临床评价资料</w:t>
      </w:r>
    </w:p>
    <w:p w14:paraId="327EA56E">
      <w:pPr>
        <w:overflowPunct w:val="0"/>
        <w:snapToGrid w:val="0"/>
        <w:spacing w:line="52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若无法证明申报产品与《目录》产品具有等同性，则应按照《医疗器械临床评价技术指导原则》提交临床评价资料。</w:t>
      </w:r>
    </w:p>
    <w:p w14:paraId="3F9D2E13">
      <w:pPr>
        <w:spacing w:line="520" w:lineRule="exact"/>
        <w:ind w:right="-67" w:rightChars="-32"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五</w:t>
      </w:r>
      <w:r>
        <w:rPr>
          <w:rFonts w:ascii="Times New Roman" w:hAnsi="Times New Roman" w:eastAsia="楷体_GB2312" w:cs="Times New Roman"/>
          <w:sz w:val="32"/>
          <w:szCs w:val="32"/>
        </w:rPr>
        <w:t>）产品说明书和标签样稿</w:t>
      </w:r>
    </w:p>
    <w:p w14:paraId="0BFD62D3">
      <w:pPr>
        <w:overflowPunct w:val="0"/>
        <w:spacing w:line="52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产品说明书和标签的编写应符合《医疗器械说明书和标签管理规定》和相关标准中的要求，</w:t>
      </w:r>
      <w:r>
        <w:rPr>
          <w:rFonts w:hint="eastAsia" w:ascii="Times New Roman" w:hAnsi="Times New Roman" w:eastAsia="仿宋_GB2312" w:cs="Times New Roman"/>
          <w:sz w:val="32"/>
          <w:szCs w:val="32"/>
        </w:rPr>
        <w:t>关于产品性能特征的描述不应超出研究资料及产品技术要求，不得含有未经验证的夸大宣传的相关描述；储存和运输条件不应超出产品货架有效期验证范围，</w:t>
      </w:r>
      <w:r>
        <w:rPr>
          <w:rFonts w:ascii="Times New Roman" w:hAnsi="Times New Roman" w:eastAsia="仿宋_GB2312" w:cs="Times New Roman"/>
          <w:sz w:val="32"/>
          <w:szCs w:val="32"/>
        </w:rPr>
        <w:t>同时还应注意以下几点（不限于此）：</w:t>
      </w:r>
    </w:p>
    <w:p w14:paraId="12C4FCEA">
      <w:pPr>
        <w:overflowPunct w:val="0"/>
        <w:spacing w:line="52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明确产品使用方法</w:t>
      </w:r>
      <w:r>
        <w:rPr>
          <w:rFonts w:hint="eastAsia" w:ascii="Times New Roman" w:hAnsi="Times New Roman" w:eastAsia="仿宋_GB2312" w:cs="Times New Roman"/>
          <w:sz w:val="32"/>
          <w:szCs w:val="32"/>
        </w:rPr>
        <w:t>，提示使用前首先阅读说明书，了解使用方法。</w:t>
      </w:r>
    </w:p>
    <w:p w14:paraId="2A2762B1">
      <w:pPr>
        <w:overflowPunct w:val="0"/>
        <w:spacing w:line="52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2.禁忌证至少包含</w:t>
      </w:r>
      <w:r>
        <w:rPr>
          <w:rFonts w:hint="eastAsia" w:ascii="Times New Roman" w:hAnsi="Times New Roman" w:eastAsia="仿宋_GB2312" w:cs="Times New Roman"/>
          <w:sz w:val="32"/>
          <w:szCs w:val="32"/>
        </w:rPr>
        <w:t>对产品</w:t>
      </w:r>
      <w:r>
        <w:rPr>
          <w:rFonts w:hint="eastAsia" w:ascii="Times New Roman" w:hAnsi="Times New Roman" w:eastAsia="仿宋_GB2312" w:cs="Times New Roman"/>
          <w:sz w:val="32"/>
          <w:szCs w:val="32"/>
          <w:lang w:eastAsia="zh-CN"/>
        </w:rPr>
        <w:t>材质</w:t>
      </w:r>
      <w:r>
        <w:rPr>
          <w:rFonts w:hint="eastAsia" w:ascii="Times New Roman" w:hAnsi="Times New Roman" w:eastAsia="仿宋_GB2312" w:cs="Times New Roman"/>
          <w:sz w:val="32"/>
          <w:szCs w:val="32"/>
        </w:rPr>
        <w:t>过敏者禁用等内容。</w:t>
      </w:r>
    </w:p>
    <w:p w14:paraId="4401F74B">
      <w:pPr>
        <w:overflowPunct w:val="0"/>
        <w:spacing w:line="52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eastAsia="仿宋_GB2312"/>
          <w:snapToGrid w:val="0"/>
          <w:kern w:val="0"/>
          <w:sz w:val="32"/>
          <w:szCs w:val="32"/>
        </w:rPr>
        <w:t>产品灭菌方式，一次性使用</w:t>
      </w:r>
      <w:r>
        <w:rPr>
          <w:rFonts w:hint="eastAsia" w:eastAsia="仿宋_GB2312"/>
          <w:snapToGrid w:val="0"/>
          <w:kern w:val="0"/>
          <w:sz w:val="32"/>
          <w:szCs w:val="32"/>
        </w:rPr>
        <w:t>，有效期。</w:t>
      </w:r>
    </w:p>
    <w:p w14:paraId="7166DFE9">
      <w:pPr>
        <w:overflowPunct w:val="0"/>
        <w:spacing w:line="52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.注意事项一般应有以下内容：</w:t>
      </w:r>
    </w:p>
    <w:p w14:paraId="67D55B9F">
      <w:pPr>
        <w:overflowPunct w:val="0"/>
        <w:spacing w:line="52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包装如有破损、脏污、潮湿等异常情况禁止使用</w:t>
      </w:r>
      <w:r>
        <w:rPr>
          <w:rFonts w:hint="eastAsia" w:ascii="Times New Roman" w:hAnsi="Times New Roman" w:eastAsia="仿宋_GB2312" w:cs="Times New Roman"/>
          <w:sz w:val="32"/>
          <w:szCs w:val="32"/>
          <w:lang w:eastAsia="zh-CN"/>
        </w:rPr>
        <w:t>。</w:t>
      </w:r>
    </w:p>
    <w:p w14:paraId="13FB569A">
      <w:pPr>
        <w:overflowPunct w:val="0"/>
        <w:spacing w:line="52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）针对产品特点的特殊注意事项、警示信息、可能的不良事件及处理措施。</w:t>
      </w:r>
    </w:p>
    <w:p w14:paraId="302D09E4">
      <w:pPr>
        <w:overflowPunct w:val="0"/>
        <w:spacing w:line="52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产品使用后应按照医疗废物进行销毁处</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szCs w:val="32"/>
          <w:lang w:eastAsia="zh-CN"/>
        </w:rPr>
        <w:t>。</w:t>
      </w:r>
    </w:p>
    <w:p w14:paraId="4AE12FE4">
      <w:pPr>
        <w:overflowPunct w:val="0"/>
        <w:spacing w:line="520" w:lineRule="exact"/>
        <w:ind w:firstLine="640" w:firstLineChars="200"/>
        <w:jc w:val="left"/>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六</w:t>
      </w:r>
      <w:r>
        <w:rPr>
          <w:rFonts w:ascii="Times New Roman" w:hAnsi="Times New Roman" w:eastAsia="楷体_GB2312" w:cs="Times New Roman"/>
          <w:sz w:val="32"/>
          <w:szCs w:val="32"/>
        </w:rPr>
        <w:t>）质量管理体系文件</w:t>
      </w:r>
    </w:p>
    <w:p w14:paraId="3BF72348">
      <w:pPr>
        <w:overflowPunct w:val="0"/>
        <w:spacing w:line="52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质量管理体系文件应符合国家药品监督管理局《关于公布医疗器械注册申报资料要求和批准证明文件格式的公告》中对质量管理体系文件的要求，</w:t>
      </w:r>
      <w:r>
        <w:rPr>
          <w:rFonts w:ascii="Times New Roman" w:hAnsi="Times New Roman" w:eastAsia="仿宋_GB2312" w:cs="Times New Roman"/>
          <w:sz w:val="32"/>
          <w:szCs w:val="32"/>
        </w:rPr>
        <w:t>至少应包括但不限于以下内容：</w:t>
      </w:r>
    </w:p>
    <w:p w14:paraId="131158C0">
      <w:pPr>
        <w:overflowPunct w:val="0"/>
        <w:spacing w:line="520" w:lineRule="exact"/>
        <w:ind w:firstLine="640" w:firstLineChars="200"/>
        <w:rPr>
          <w:rFonts w:ascii="Times New Roman" w:hAnsi="Times New Roman" w:eastAsia="仿宋_GB2312" w:cs="Times New Roman"/>
          <w:sz w:val="32"/>
        </w:rPr>
      </w:pPr>
      <w:r>
        <w:rPr>
          <w:rFonts w:ascii="Times New Roman" w:hAnsi="Times New Roman" w:eastAsia="仿宋_GB2312" w:cs="Times New Roman"/>
          <w:sz w:val="32"/>
          <w:szCs w:val="32"/>
        </w:rPr>
        <w:t>1.</w:t>
      </w:r>
      <w:r>
        <w:rPr>
          <w:rFonts w:ascii="Times New Roman" w:hAnsi="Times New Roman" w:eastAsia="仿宋_GB2312" w:cs="Times New Roman"/>
          <w:sz w:val="32"/>
        </w:rPr>
        <w:t>生产工艺过程及过程控制点</w:t>
      </w:r>
    </w:p>
    <w:p w14:paraId="1B867E31">
      <w:pPr>
        <w:widowControl/>
        <w:overflowPunct w:val="0"/>
        <w:spacing w:line="520" w:lineRule="exact"/>
        <w:ind w:firstLine="640" w:firstLineChars="200"/>
        <w:rPr>
          <w:rFonts w:ascii="Times New Roman" w:hAnsi="Times New Roman" w:cs="Times New Roman"/>
        </w:rPr>
      </w:pPr>
      <w:r>
        <w:rPr>
          <w:rFonts w:ascii="Times New Roman" w:hAnsi="Times New Roman" w:eastAsia="仿宋_GB2312" w:cs="Times New Roman"/>
          <w:sz w:val="32"/>
        </w:rPr>
        <w:t>注册申请人应根据申报产品的实际情况，</w:t>
      </w:r>
      <w:r>
        <w:rPr>
          <w:rFonts w:ascii="Times New Roman" w:hAnsi="Times New Roman" w:eastAsia="仿宋_GB2312" w:cs="Times New Roman"/>
          <w:sz w:val="32"/>
          <w:szCs w:val="32"/>
        </w:rPr>
        <w:t>以流程图的形式对生产工艺过程进行详细描述，注明关键工序和特殊过程，并</w:t>
      </w:r>
      <w:r>
        <w:rPr>
          <w:rFonts w:ascii="Times New Roman" w:hAnsi="Times New Roman" w:eastAsia="仿宋_GB2312" w:cs="Times New Roman"/>
          <w:spacing w:val="-4"/>
          <w:sz w:val="32"/>
        </w:rPr>
        <w:t>进行简单说明。关键工序和特殊过程因生产企业不同可能会存在差异。应说明生产工艺过程质量控制点，包括关键工序和特殊过程的控制规定和方法。</w:t>
      </w:r>
    </w:p>
    <w:p w14:paraId="11A3D95F">
      <w:pPr>
        <w:overflowPunct w:val="0"/>
        <w:spacing w:line="520" w:lineRule="exact"/>
        <w:ind w:firstLine="640" w:firstLineChars="200"/>
        <w:rPr>
          <w:rFonts w:ascii="Times New Roman" w:hAnsi="Times New Roman" w:eastAsia="仿宋_GB2312" w:cs="Times New Roman"/>
          <w:sz w:val="32"/>
        </w:rPr>
      </w:pPr>
      <w:r>
        <w:rPr>
          <w:rFonts w:ascii="Times New Roman" w:hAnsi="Times New Roman" w:eastAsia="仿宋_GB2312" w:cs="Times New Roman"/>
          <w:sz w:val="32"/>
          <w:szCs w:val="32"/>
        </w:rPr>
        <w:t>2.</w:t>
      </w:r>
      <w:r>
        <w:rPr>
          <w:rFonts w:ascii="Times New Roman" w:hAnsi="Times New Roman" w:eastAsia="仿宋_GB2312" w:cs="Times New Roman"/>
          <w:sz w:val="32"/>
        </w:rPr>
        <w:t>研制、生产场地情况概述</w:t>
      </w:r>
    </w:p>
    <w:p w14:paraId="55D6D47F">
      <w:pPr>
        <w:overflowPunct w:val="0"/>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应结合场地平面图详细介绍研发、生产、检验、仓库场地情况。有多个研制、生产场地，应介绍每个研制、生产场地的实际情况。生产场地应与生产规模相适应。生产场地的区域划分应与生产工艺流程相符合。</w:t>
      </w:r>
    </w:p>
    <w:p w14:paraId="2DA2F4D0">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3.根据上述质量管理体系程序，申请人应当形成相关质量管理体系文件和记录。应当提交下列资料，在质量管理体系核查时进行检查。</w:t>
      </w:r>
    </w:p>
    <w:p w14:paraId="5F969FE2">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3.1申请人基本情况表。</w:t>
      </w:r>
    </w:p>
    <w:p w14:paraId="30809684">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3.2申请人组织机构图。</w:t>
      </w:r>
    </w:p>
    <w:p w14:paraId="501B11A1">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3.3生产企业总平面布置图、生产区域分布图。</w:t>
      </w:r>
    </w:p>
    <w:p w14:paraId="398038DC">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3.4生产过程有净化要求的，应当提供有资质的检测机构出具的环境检测报告（附平面布局图）复印件。</w:t>
      </w:r>
    </w:p>
    <w:p w14:paraId="071234EE">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3.5产品生产工艺流程图，应当标明主要控制点与项目及主要原材料、采购件的来源及质量控制方法。</w:t>
      </w:r>
    </w:p>
    <w:p w14:paraId="60853C3E">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3.6主要生产设备和检验设备（包括进货检验、过程检验、出厂最终检验所需的相关设备；在净化条件下生产的，还应当提供环境监测设备）目录。</w:t>
      </w:r>
    </w:p>
    <w:p w14:paraId="7264EFAF">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3.7质量管理体系自查报告。</w:t>
      </w:r>
    </w:p>
    <w:p w14:paraId="254C129F">
      <w:pPr>
        <w:spacing w:line="520" w:lineRule="exact"/>
        <w:ind w:firstLine="640" w:firstLineChars="200"/>
        <w:rPr>
          <w:rFonts w:ascii="Times New Roman" w:hAnsi="Times New Roman" w:eastAsia="仿宋_GB2312" w:cs="Times New Roman"/>
          <w:sz w:val="28"/>
          <w:szCs w:val="28"/>
        </w:rPr>
      </w:pPr>
      <w:r>
        <w:rPr>
          <w:rFonts w:ascii="Times New Roman" w:hAnsi="Times New Roman" w:eastAsia="仿宋_GB2312" w:cs="Times New Roman"/>
          <w:sz w:val="32"/>
          <w:szCs w:val="32"/>
        </w:rPr>
        <w:t>3.8如适用，应当提供拟核查产品与既往已通过核查产品在生产条件、生产工艺等方面的对比说明。</w:t>
      </w:r>
    </w:p>
    <w:p w14:paraId="727335F3">
      <w:pPr>
        <w:spacing w:line="5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三、参考文献</w:t>
      </w:r>
    </w:p>
    <w:p w14:paraId="48E9A376">
      <w:pPr>
        <w:pStyle w:val="16"/>
        <w:overflowPunct w:val="0"/>
        <w:autoSpaceDE w:val="0"/>
        <w:autoSpaceDN w:val="0"/>
        <w:spacing w:line="520" w:lineRule="exact"/>
        <w:ind w:firstLine="640"/>
        <w:outlineLvl w:val="2"/>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[1]</w:t>
      </w:r>
      <w:r>
        <w:rPr>
          <w:rFonts w:hint="eastAsia" w:ascii="Times New Roman" w:hAnsi="Times New Roman" w:eastAsia="仿宋_GB2312" w:cs="Times New Roman"/>
          <w:snapToGrid w:val="0"/>
          <w:kern w:val="0"/>
          <w:sz w:val="32"/>
          <w:szCs w:val="32"/>
        </w:rPr>
        <w:t>中华人民共和国国务院.医疗器械监督管理条例:中华人民共和国国务院令第739号[Z].</w:t>
      </w:r>
    </w:p>
    <w:p w14:paraId="4630CD31">
      <w:pPr>
        <w:pStyle w:val="16"/>
        <w:overflowPunct w:val="0"/>
        <w:autoSpaceDE w:val="0"/>
        <w:autoSpaceDN w:val="0"/>
        <w:spacing w:line="520" w:lineRule="exact"/>
        <w:ind w:firstLine="640"/>
        <w:outlineLvl w:val="2"/>
        <w:rPr>
          <w:rFonts w:ascii="Times New Roman" w:hAnsi="Times New Roman" w:eastAsia="仿宋_GB2312" w:cs="Times New Roman"/>
          <w:snapToGrid w:val="0"/>
          <w:kern w:val="0"/>
          <w:sz w:val="32"/>
          <w:szCs w:val="32"/>
        </w:rPr>
      </w:pPr>
      <w:r>
        <w:rPr>
          <w:rFonts w:ascii="Times New Roman" w:hAnsi="Times New Roman" w:eastAsia="仿宋_GB2312" w:cs="Times New Roman"/>
          <w:snapToGrid w:val="0"/>
          <w:kern w:val="0"/>
          <w:sz w:val="32"/>
          <w:szCs w:val="32"/>
        </w:rPr>
        <w:t>[2]</w:t>
      </w:r>
      <w:r>
        <w:rPr>
          <w:rFonts w:hint="eastAsia" w:ascii="Times New Roman" w:hAnsi="Times New Roman" w:eastAsia="仿宋_GB2312" w:cs="Times New Roman"/>
          <w:snapToGrid w:val="0"/>
          <w:kern w:val="0"/>
          <w:sz w:val="32"/>
          <w:szCs w:val="32"/>
        </w:rPr>
        <w:t>国家市场监督管理总局.医疗器械注册与备案管理办法:国家市场监督管理总局令第47号[Z].</w:t>
      </w:r>
    </w:p>
    <w:p w14:paraId="593CBD25">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napToGrid w:val="0"/>
          <w:kern w:val="0"/>
          <w:sz w:val="32"/>
          <w:szCs w:val="32"/>
        </w:rPr>
        <w:t>[3]</w:t>
      </w:r>
      <w:r>
        <w:rPr>
          <w:rFonts w:hint="eastAsia" w:ascii="Times New Roman" w:hAnsi="Times New Roman" w:eastAsia="仿宋_GB2312" w:cs="Times New Roman"/>
          <w:sz w:val="32"/>
          <w:szCs w:val="32"/>
        </w:rPr>
        <w:t>国家食品药品监督管理局.医疗器械说明书和标签管理规定:国家食品药品监督管理总局令第6号[Z].</w:t>
      </w:r>
    </w:p>
    <w:p w14:paraId="0A31274F">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国家食品药品监督管理局.医疗器械通用名称命名规则：国家食品药品监督管理总局令第19号[Z].</w:t>
      </w:r>
    </w:p>
    <w:p w14:paraId="1ABDC6A3">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5] </w:t>
      </w:r>
      <w:r>
        <w:rPr>
          <w:rFonts w:hint="eastAsia" w:ascii="Times New Roman" w:hAnsi="Times New Roman" w:eastAsia="仿宋_GB2312" w:cs="Times New Roman"/>
          <w:sz w:val="32"/>
          <w:szCs w:val="32"/>
        </w:rPr>
        <w:t>国家食品药品监督管理局.医疗器械分类目录:国家食品药品监督管理总局公告2017年第104号[Z].</w:t>
      </w:r>
    </w:p>
    <w:p w14:paraId="7D7A12E2">
      <w:pPr>
        <w:pStyle w:val="16"/>
        <w:overflowPunct w:val="0"/>
        <w:autoSpaceDE w:val="0"/>
        <w:autoSpaceDN w:val="0"/>
        <w:spacing w:line="520" w:lineRule="exact"/>
        <w:ind w:firstLine="640"/>
        <w:outlineLvl w:val="2"/>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rPr>
        <w:t>[</w:t>
      </w:r>
      <w:r>
        <w:rPr>
          <w:rFonts w:ascii="Times New Roman" w:hAnsi="Times New Roman" w:eastAsia="仿宋_GB2312" w:cs="Times New Roman"/>
          <w:snapToGrid w:val="0"/>
          <w:kern w:val="0"/>
          <w:sz w:val="32"/>
          <w:szCs w:val="32"/>
        </w:rPr>
        <w:t xml:space="preserve">6] </w:t>
      </w:r>
      <w:r>
        <w:rPr>
          <w:rFonts w:hint="eastAsia" w:ascii="Times New Roman" w:hAnsi="Times New Roman" w:eastAsia="仿宋_GB2312" w:cs="Times New Roman"/>
          <w:snapToGrid w:val="0"/>
          <w:kern w:val="0"/>
          <w:sz w:val="32"/>
          <w:szCs w:val="32"/>
        </w:rPr>
        <w:t>国家食品药品监督管理局.医疗器械注册单元划分指导原则:总局通告2017年第187号[Z].</w:t>
      </w:r>
    </w:p>
    <w:p w14:paraId="4F3366BB">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国家药品监督管理局.医疗器械临床评价技术指导原则:国家药监局通告2021年第73号[Z].</w:t>
      </w:r>
    </w:p>
    <w:p w14:paraId="01F8ECE1">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国家药品监督管理局.医疗器械注册申报资料要求和批准证明文件格式:国家药监局公告2021年第121号[Z].</w:t>
      </w:r>
    </w:p>
    <w:p w14:paraId="45A41827">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 xml:space="preserve">]GB/T 14233.2,医用输液、输血、注射器具检验方法第2部分：生物学试验方法[S]. </w:t>
      </w:r>
    </w:p>
    <w:p w14:paraId="433F74A6">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]GB/T 16886.1,医疗器械生物学评价第1部分：风险管理过程中的评价与试验[S].</w:t>
      </w:r>
    </w:p>
    <w:p w14:paraId="746AE509">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]GB/T 16886.5,医疗器械生物学评价第5部分：体外细胞毒性试验[S].</w:t>
      </w:r>
    </w:p>
    <w:p w14:paraId="43E17737">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]GB/T 16886.10,医疗器械生物学评价第10部分：刺激与皮肤致敏试验[S].</w:t>
      </w:r>
    </w:p>
    <w:p w14:paraId="3BA75704">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GB 18279,医疗保健产品灭菌环氧乙烷：医疗器械灭菌过程的开发、确认和常规控制的要求[S]</w:t>
      </w:r>
      <w:r>
        <w:rPr>
          <w:rFonts w:ascii="Times New Roman" w:hAnsi="Times New Roman" w:eastAsia="仿宋_GB2312" w:cs="Times New Roman"/>
          <w:sz w:val="32"/>
          <w:szCs w:val="32"/>
        </w:rPr>
        <w:t>.</w:t>
      </w:r>
    </w:p>
    <w:p w14:paraId="1DC20CB9">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GB 18281.2, 医疗保健产品灭菌生物指示物第2部分：环氧乙烷灭菌用生物指示物[S]</w:t>
      </w:r>
      <w:r>
        <w:rPr>
          <w:rFonts w:ascii="Times New Roman" w:hAnsi="Times New Roman" w:eastAsia="仿宋_GB2312" w:cs="Times New Roman"/>
          <w:sz w:val="32"/>
          <w:szCs w:val="32"/>
        </w:rPr>
        <w:t>.</w:t>
      </w:r>
    </w:p>
    <w:p w14:paraId="386EC7A2">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[15]GB/T 19633.1, 最终灭菌医疗器械包装第1部分：材料、无菌屏障系统和包装系统的要求[S].</w:t>
      </w:r>
    </w:p>
    <w:p w14:paraId="0CED750F">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6]GB/T 19633.2, 最终灭菌医疗器械包装第2部分：成形、密封和装配过程确认的要求[S].</w:t>
      </w:r>
    </w:p>
    <w:p w14:paraId="0CB086CF">
      <w:pPr>
        <w:pStyle w:val="16"/>
        <w:overflowPunct w:val="0"/>
        <w:autoSpaceDE w:val="0"/>
        <w:autoSpaceDN w:val="0"/>
        <w:spacing w:line="520" w:lineRule="exact"/>
        <w:ind w:firstLine="640"/>
        <w:outlineLvl w:val="2"/>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17</w:t>
      </w:r>
      <w:r>
        <w:rPr>
          <w:rFonts w:ascii="Times New Roman" w:hAnsi="Times New Roman" w:eastAsia="仿宋_GB2312" w:cs="Times New Roman"/>
          <w:sz w:val="32"/>
          <w:szCs w:val="32"/>
        </w:rPr>
        <w:t>]YY/T 0466.1,医疗器械用于医疗器械标签、标记和提供信息的符号第1部分：通用要求[S].</w:t>
      </w:r>
    </w:p>
    <w:p w14:paraId="6B307C2D">
      <w:pPr>
        <w:pStyle w:val="16"/>
        <w:overflowPunct w:val="0"/>
        <w:autoSpaceDE w:val="0"/>
        <w:autoSpaceDN w:val="0"/>
        <w:spacing w:line="520" w:lineRule="exact"/>
        <w:ind w:firstLine="640"/>
        <w:outlineLvl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[18]GB/T 42062,医疗器械风险管理对医疗器械的应用[S].</w:t>
      </w:r>
    </w:p>
    <w:p w14:paraId="32FBA7D4">
      <w:pPr>
        <w:pStyle w:val="16"/>
        <w:overflowPunct w:val="0"/>
        <w:autoSpaceDE w:val="0"/>
        <w:autoSpaceDN w:val="0"/>
        <w:spacing w:line="520" w:lineRule="exact"/>
        <w:ind w:firstLine="640"/>
        <w:outlineLvl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]YY/T 0149,不锈钢医用器械 耐腐蚀性能试验方法[S].</w:t>
      </w:r>
    </w:p>
    <w:p w14:paraId="7C2B51CE">
      <w:pPr>
        <w:pStyle w:val="16"/>
        <w:overflowPunct w:val="0"/>
        <w:autoSpaceDE w:val="0"/>
        <w:autoSpaceDN w:val="0"/>
        <w:spacing w:line="520" w:lineRule="exact"/>
        <w:ind w:firstLine="640"/>
        <w:outlineLvl w:val="2"/>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rPr>
        <w:t>]GB/T 1031,产品几何技术规范（GPS） 表面结构 轮廓法 表面粗糙度参数及其数值[S].</w:t>
      </w:r>
    </w:p>
    <w:p w14:paraId="71994D5A">
      <w:pPr>
        <w:overflowPunct w:val="0"/>
        <w:autoSpaceDE w:val="0"/>
        <w:autoSpaceDN w:val="0"/>
        <w:spacing w:line="520" w:lineRule="exact"/>
        <w:outlineLvl w:val="2"/>
        <w:rPr>
          <w:rFonts w:hint="eastAsia" w:ascii="黑体" w:hAnsi="黑体" w:eastAsia="黑体" w:cs="Times New Roman"/>
          <w:sz w:val="32"/>
          <w:szCs w:val="32"/>
        </w:rPr>
      </w:pPr>
      <w:r>
        <w:rPr>
          <w:rFonts w:hint="eastAsia" w:ascii="黑体" w:hAnsi="黑体" w:eastAsia="黑体" w:cs="Times New Roman"/>
          <w:sz w:val="32"/>
          <w:szCs w:val="32"/>
        </w:rPr>
        <w:t>附件</w:t>
      </w:r>
    </w:p>
    <w:bookmarkEnd w:id="6"/>
    <w:p w14:paraId="213967E3">
      <w:pPr>
        <w:overflowPunct w:val="0"/>
        <w:spacing w:line="520" w:lineRule="exact"/>
        <w:jc w:val="center"/>
        <w:rPr>
          <w:rFonts w:hint="eastAsia" w:ascii="黑体" w:hAnsi="黑体" w:eastAsia="黑体" w:cs="Times New Roman"/>
          <w:sz w:val="28"/>
          <w:szCs w:val="28"/>
        </w:rPr>
      </w:pPr>
      <w:r>
        <w:rPr>
          <w:rFonts w:ascii="Times New Roman" w:hAnsi="Times New Roman" w:eastAsia="黑体" w:cs="Times New Roman"/>
          <w:sz w:val="28"/>
          <w:szCs w:val="28"/>
        </w:rPr>
        <w:t>表1产品主</w:t>
      </w:r>
      <w:r>
        <w:rPr>
          <w:rFonts w:ascii="黑体" w:hAnsi="黑体" w:eastAsia="黑体" w:cs="Times New Roman"/>
          <w:sz w:val="28"/>
          <w:szCs w:val="28"/>
        </w:rPr>
        <w:t>要危害</w:t>
      </w:r>
    </w:p>
    <w:tbl>
      <w:tblPr>
        <w:tblStyle w:val="9"/>
        <w:tblW w:w="91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901"/>
        <w:gridCol w:w="3321"/>
        <w:gridCol w:w="2832"/>
      </w:tblGrid>
      <w:tr w14:paraId="46EF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gridSpan w:val="2"/>
            <w:vAlign w:val="center"/>
          </w:tcPr>
          <w:p w14:paraId="32534269">
            <w:pPr>
              <w:spacing w:line="520" w:lineRule="exact"/>
              <w:ind w:right="-67" w:rightChars="-32"/>
              <w:jc w:val="center"/>
              <w:rPr>
                <w:rFonts w:ascii="Times New Roman" w:hAnsi="Times New Roman" w:eastAsia="黑体" w:cs="Times New Roman"/>
                <w:bCs/>
                <w:sz w:val="28"/>
                <w:szCs w:val="28"/>
              </w:rPr>
            </w:pPr>
            <w:r>
              <w:rPr>
                <w:rFonts w:hint="eastAsia" w:ascii="Times New Roman" w:hAnsi="Times New Roman" w:eastAsia="仿宋_GB2312" w:cs="Times New Roman"/>
                <w:bCs/>
                <w:sz w:val="28"/>
                <w:szCs w:val="28"/>
              </w:rPr>
              <w:t>危害类型</w:t>
            </w:r>
          </w:p>
        </w:tc>
        <w:tc>
          <w:tcPr>
            <w:tcW w:w="3321" w:type="dxa"/>
            <w:vAlign w:val="center"/>
          </w:tcPr>
          <w:p w14:paraId="3F2792E8">
            <w:pPr>
              <w:spacing w:line="520" w:lineRule="exact"/>
              <w:ind w:right="-67" w:rightChars="-32"/>
              <w:jc w:val="center"/>
              <w:rPr>
                <w:rFonts w:ascii="Times New Roman" w:hAnsi="Times New Roman" w:eastAsia="黑体" w:cs="Times New Roman"/>
                <w:bCs/>
                <w:sz w:val="28"/>
                <w:szCs w:val="28"/>
              </w:rPr>
            </w:pPr>
            <w:r>
              <w:rPr>
                <w:rFonts w:hint="eastAsia" w:ascii="Times New Roman" w:hAnsi="Times New Roman" w:eastAsia="仿宋_GB2312" w:cs="Times New Roman"/>
                <w:bCs/>
                <w:sz w:val="28"/>
                <w:szCs w:val="28"/>
              </w:rPr>
              <w:t>可预见的事件序列</w:t>
            </w:r>
          </w:p>
        </w:tc>
        <w:tc>
          <w:tcPr>
            <w:tcW w:w="2832" w:type="dxa"/>
            <w:vAlign w:val="center"/>
          </w:tcPr>
          <w:p w14:paraId="6C3BA32C">
            <w:pPr>
              <w:spacing w:line="520" w:lineRule="exact"/>
              <w:ind w:right="-67" w:rightChars="-32"/>
              <w:jc w:val="center"/>
              <w:rPr>
                <w:rFonts w:ascii="Times New Roman" w:hAnsi="Times New Roman" w:eastAsia="黑体" w:cs="Times New Roman"/>
                <w:bCs/>
                <w:sz w:val="28"/>
                <w:szCs w:val="28"/>
              </w:rPr>
            </w:pPr>
            <w:r>
              <w:rPr>
                <w:rFonts w:hint="eastAsia" w:ascii="Times New Roman" w:hAnsi="Times New Roman" w:eastAsia="仿宋_GB2312" w:cs="Times New Roman"/>
                <w:bCs/>
                <w:sz w:val="28"/>
                <w:szCs w:val="28"/>
              </w:rPr>
              <w:t>可能产生的危害</w:t>
            </w:r>
          </w:p>
        </w:tc>
      </w:tr>
      <w:tr w14:paraId="69EE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gridSpan w:val="2"/>
            <w:vMerge w:val="restart"/>
            <w:vAlign w:val="center"/>
          </w:tcPr>
          <w:p w14:paraId="318AE3DF">
            <w:pPr>
              <w:spacing w:line="520" w:lineRule="exact"/>
              <w:ind w:right="-67" w:rightChars="-32"/>
              <w:jc w:val="center"/>
              <w:rPr>
                <w:rFonts w:hint="eastAsia" w:ascii="Times New Roman" w:hAnsi="Times New Roman" w:eastAsia="仿宋_GB2312" w:cs="Times New Roman"/>
                <w:bCs/>
                <w:color w:val="FF0000"/>
                <w:sz w:val="28"/>
                <w:szCs w:val="28"/>
              </w:rPr>
            </w:pPr>
            <w:r>
              <w:rPr>
                <w:rFonts w:hint="eastAsia" w:ascii="Times New Roman" w:hAnsi="Times New Roman" w:eastAsia="仿宋_GB2312" w:cs="Times New Roman"/>
                <w:bCs/>
                <w:sz w:val="28"/>
                <w:szCs w:val="28"/>
              </w:rPr>
              <w:t>物理危险</w:t>
            </w:r>
            <w:r>
              <w:rPr>
                <w:rFonts w:hint="default" w:ascii="Times New Roman" w:hAnsi="Times New Roman" w:eastAsia="仿宋_GB2312" w:cs="Times New Roman"/>
                <w:bCs/>
                <w:sz w:val="28"/>
                <w:szCs w:val="28"/>
              </w:rPr>
              <w:t>（源）</w:t>
            </w:r>
          </w:p>
        </w:tc>
        <w:tc>
          <w:tcPr>
            <w:tcW w:w="3321" w:type="dxa"/>
            <w:vAlign w:val="center"/>
          </w:tcPr>
          <w:p w14:paraId="58F7081A">
            <w:pPr>
              <w:spacing w:line="520" w:lineRule="exact"/>
              <w:ind w:right="-67" w:rightChars="-32"/>
              <w:jc w:val="left"/>
              <w:rPr>
                <w:rFonts w:hint="eastAsia" w:ascii="Times New Roman" w:hAnsi="Times New Roman" w:eastAsia="仿宋_GB2312" w:cs="Times New Roman"/>
                <w:bCs/>
                <w:sz w:val="28"/>
                <w:szCs w:val="28"/>
                <w:lang w:eastAsia="zh-CN"/>
              </w:rPr>
            </w:pPr>
            <w:r>
              <w:rPr>
                <w:rFonts w:hint="eastAsia" w:ascii="Times New Roman" w:hAnsi="Times New Roman" w:eastAsia="仿宋_GB2312" w:cs="Times New Roman"/>
                <w:bCs/>
                <w:sz w:val="28"/>
                <w:szCs w:val="28"/>
              </w:rPr>
              <w:t>外观存在毛刺</w:t>
            </w:r>
            <w:r>
              <w:rPr>
                <w:rFonts w:hint="default" w:ascii="Times New Roman" w:hAnsi="Times New Roman" w:eastAsia="仿宋_GB2312" w:cs="Times New Roman"/>
                <w:bCs/>
                <w:sz w:val="28"/>
                <w:szCs w:val="28"/>
              </w:rPr>
              <w:t>，在使用时扎伤使用者或者患者</w:t>
            </w:r>
            <w:r>
              <w:rPr>
                <w:rFonts w:hint="eastAsia" w:ascii="Times New Roman" w:hAnsi="Times New Roman" w:eastAsia="仿宋_GB2312" w:cs="Times New Roman"/>
                <w:bCs/>
                <w:sz w:val="28"/>
                <w:szCs w:val="28"/>
                <w:lang w:eastAsia="zh-CN"/>
              </w:rPr>
              <w:t>。</w:t>
            </w:r>
          </w:p>
        </w:tc>
        <w:tc>
          <w:tcPr>
            <w:tcW w:w="2832" w:type="dxa"/>
            <w:vAlign w:val="center"/>
          </w:tcPr>
          <w:p w14:paraId="58DB814C">
            <w:pPr>
              <w:spacing w:line="520" w:lineRule="exact"/>
              <w:ind w:right="-67" w:rightChars="-32"/>
              <w:jc w:val="left"/>
              <w:rPr>
                <w:rFonts w:hint="eastAsia" w:ascii="Times New Roman" w:hAnsi="Times New Roman" w:eastAsia="仿宋_GB2312" w:cs="Times New Roman"/>
                <w:bCs/>
                <w:sz w:val="28"/>
                <w:szCs w:val="28"/>
              </w:rPr>
            </w:pPr>
            <w:r>
              <w:rPr>
                <w:rFonts w:hint="default" w:ascii="Times New Roman" w:hAnsi="Times New Roman" w:eastAsia="仿宋_GB2312" w:cs="Times New Roman"/>
                <w:bCs/>
                <w:sz w:val="28"/>
                <w:szCs w:val="28"/>
              </w:rPr>
              <w:t>对使用者或患者造成伤害</w:t>
            </w:r>
          </w:p>
        </w:tc>
      </w:tr>
      <w:tr w14:paraId="7307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0" w:type="dxa"/>
            <w:gridSpan w:val="2"/>
            <w:vMerge w:val="continue"/>
            <w:vAlign w:val="center"/>
          </w:tcPr>
          <w:p w14:paraId="07F7EDE5">
            <w:pPr>
              <w:spacing w:line="520" w:lineRule="exact"/>
              <w:ind w:right="-67" w:rightChars="-32"/>
              <w:jc w:val="center"/>
              <w:rPr>
                <w:rFonts w:ascii="Times New Roman" w:hAnsi="Times New Roman" w:eastAsia="仿宋_GB2312" w:cs="Times New Roman"/>
                <w:bCs/>
                <w:color w:val="FF0000"/>
                <w:sz w:val="28"/>
                <w:szCs w:val="28"/>
              </w:rPr>
            </w:pPr>
          </w:p>
        </w:tc>
        <w:tc>
          <w:tcPr>
            <w:tcW w:w="3321" w:type="dxa"/>
            <w:vAlign w:val="center"/>
          </w:tcPr>
          <w:p w14:paraId="36ADF516">
            <w:pPr>
              <w:spacing w:line="520" w:lineRule="exact"/>
              <w:ind w:right="-67" w:rightChars="-32"/>
              <w:jc w:val="left"/>
              <w:rPr>
                <w:rFonts w:hint="eastAsia" w:ascii="Times New Roman" w:hAnsi="Times New Roman" w:eastAsia="仿宋_GB2312" w:cs="Times New Roman"/>
                <w:bCs/>
                <w:sz w:val="28"/>
                <w:szCs w:val="28"/>
              </w:rPr>
            </w:pPr>
            <w:r>
              <w:rPr>
                <w:rFonts w:hint="default" w:ascii="Times New Roman" w:hAnsi="Times New Roman" w:eastAsia="仿宋_GB2312" w:cs="Times New Roman"/>
                <w:bCs/>
                <w:sz w:val="28"/>
                <w:szCs w:val="28"/>
              </w:rPr>
              <w:t>使用过程中发生意外的机械性破坏。</w:t>
            </w:r>
          </w:p>
        </w:tc>
        <w:tc>
          <w:tcPr>
            <w:tcW w:w="2832" w:type="dxa"/>
            <w:vAlign w:val="center"/>
          </w:tcPr>
          <w:p w14:paraId="0F86634C">
            <w:pPr>
              <w:spacing w:line="520" w:lineRule="exact"/>
              <w:ind w:right="-67" w:rightChars="-32"/>
              <w:jc w:val="left"/>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产品使用性能无法得到保证。</w:t>
            </w:r>
          </w:p>
        </w:tc>
      </w:tr>
      <w:tr w14:paraId="638D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77C4236D">
            <w:pPr>
              <w:spacing w:line="520" w:lineRule="exact"/>
              <w:ind w:right="-67" w:rightChars="-32"/>
              <w:jc w:val="center"/>
              <w:rPr>
                <w:rFonts w:ascii="Times New Roman" w:hAnsi="Times New Roman" w:eastAsia="仿宋_GB2312" w:cs="Times New Roman"/>
                <w:bCs/>
                <w:sz w:val="28"/>
                <w:szCs w:val="28"/>
              </w:rPr>
            </w:pPr>
            <w:r>
              <w:rPr>
                <w:rFonts w:ascii="Times New Roman" w:hAnsi="Times New Roman" w:eastAsia="仿宋_GB2312" w:cs="Times New Roman"/>
                <w:bCs/>
                <w:sz w:val="28"/>
                <w:szCs w:val="28"/>
              </w:rPr>
              <w:t>生物学和化学危害</w:t>
            </w:r>
          </w:p>
        </w:tc>
        <w:tc>
          <w:tcPr>
            <w:tcW w:w="1901" w:type="dxa"/>
            <w:vAlign w:val="center"/>
          </w:tcPr>
          <w:p w14:paraId="3A900ED3">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生物污染</w:t>
            </w:r>
          </w:p>
        </w:tc>
        <w:tc>
          <w:tcPr>
            <w:tcW w:w="3321" w:type="dxa"/>
            <w:vAlign w:val="center"/>
          </w:tcPr>
          <w:p w14:paraId="439582CD">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包装破损或使用时操作不规范造成生物污染</w:t>
            </w:r>
          </w:p>
        </w:tc>
        <w:tc>
          <w:tcPr>
            <w:tcW w:w="2832" w:type="dxa"/>
            <w:vAlign w:val="center"/>
          </w:tcPr>
          <w:p w14:paraId="59C7DD9E">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产品引入致病菌，引起患者身体不适或感染</w:t>
            </w:r>
          </w:p>
        </w:tc>
      </w:tr>
      <w:tr w14:paraId="3BA0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continue"/>
            <w:vAlign w:val="center"/>
          </w:tcPr>
          <w:p w14:paraId="56C4946E">
            <w:pPr>
              <w:spacing w:line="520" w:lineRule="exact"/>
              <w:ind w:right="-67" w:rightChars="-32"/>
              <w:jc w:val="center"/>
              <w:rPr>
                <w:rFonts w:ascii="Times New Roman" w:hAnsi="Times New Roman" w:eastAsia="仿宋_GB2312" w:cs="Times New Roman"/>
                <w:bCs/>
                <w:sz w:val="28"/>
                <w:szCs w:val="28"/>
              </w:rPr>
            </w:pPr>
          </w:p>
        </w:tc>
        <w:tc>
          <w:tcPr>
            <w:tcW w:w="1901" w:type="dxa"/>
            <w:vAlign w:val="center"/>
          </w:tcPr>
          <w:p w14:paraId="4E7F1800">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环境污</w:t>
            </w:r>
            <w:r>
              <w:rPr>
                <w:rFonts w:hint="eastAsia" w:ascii="Times New Roman" w:hAnsi="Times New Roman" w:eastAsia="仿宋_GB2312" w:cs="Times New Roman"/>
                <w:bCs/>
                <w:sz w:val="28"/>
                <w:szCs w:val="28"/>
              </w:rPr>
              <w:t>染</w:t>
            </w:r>
          </w:p>
        </w:tc>
        <w:tc>
          <w:tcPr>
            <w:tcW w:w="3321" w:type="dxa"/>
            <w:vAlign w:val="center"/>
          </w:tcPr>
          <w:p w14:paraId="7CC8A23F">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生产环境污染产品，如外来的粉尘、其他杂质等</w:t>
            </w:r>
          </w:p>
        </w:tc>
        <w:tc>
          <w:tcPr>
            <w:tcW w:w="2832" w:type="dxa"/>
            <w:vAlign w:val="center"/>
          </w:tcPr>
          <w:p w14:paraId="38053A75">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引起患者身体不适或感染</w:t>
            </w:r>
          </w:p>
        </w:tc>
      </w:tr>
      <w:tr w14:paraId="54B4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79" w:type="dxa"/>
            <w:vMerge w:val="continue"/>
            <w:vAlign w:val="center"/>
          </w:tcPr>
          <w:p w14:paraId="12888914">
            <w:pPr>
              <w:spacing w:line="520" w:lineRule="exact"/>
              <w:ind w:right="-67" w:rightChars="-32"/>
              <w:jc w:val="center"/>
              <w:rPr>
                <w:rFonts w:ascii="Times New Roman" w:hAnsi="Times New Roman" w:eastAsia="仿宋_GB2312" w:cs="Times New Roman"/>
                <w:bCs/>
                <w:sz w:val="28"/>
                <w:szCs w:val="28"/>
              </w:rPr>
            </w:pPr>
          </w:p>
        </w:tc>
        <w:tc>
          <w:tcPr>
            <w:tcW w:w="1901" w:type="dxa"/>
            <w:vAlign w:val="center"/>
          </w:tcPr>
          <w:p w14:paraId="1AFF87EE">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生物相容性</w:t>
            </w:r>
          </w:p>
        </w:tc>
        <w:tc>
          <w:tcPr>
            <w:tcW w:w="3321" w:type="dxa"/>
            <w:vAlign w:val="center"/>
          </w:tcPr>
          <w:p w14:paraId="580E69C2">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采用了不合格</w:t>
            </w:r>
            <w:r>
              <w:rPr>
                <w:rFonts w:hint="eastAsia" w:ascii="Times New Roman" w:hAnsi="Times New Roman" w:eastAsia="仿宋_GB2312" w:cs="Times New Roman"/>
                <w:bCs/>
                <w:sz w:val="28"/>
                <w:szCs w:val="28"/>
                <w:lang w:eastAsia="zh-CN"/>
              </w:rPr>
              <w:t>原</w:t>
            </w:r>
            <w:r>
              <w:rPr>
                <w:rFonts w:ascii="Times New Roman" w:hAnsi="Times New Roman" w:eastAsia="仿宋_GB2312" w:cs="Times New Roman"/>
                <w:bCs/>
                <w:sz w:val="28"/>
                <w:szCs w:val="28"/>
              </w:rPr>
              <w:t>材料；生产引入了外来物质</w:t>
            </w:r>
          </w:p>
        </w:tc>
        <w:tc>
          <w:tcPr>
            <w:tcW w:w="2832" w:type="dxa"/>
            <w:vAlign w:val="center"/>
          </w:tcPr>
          <w:p w14:paraId="3BFC2F70">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引起患者局部过敏</w:t>
            </w:r>
            <w:r>
              <w:rPr>
                <w:rFonts w:hint="eastAsia" w:ascii="Times New Roman" w:hAnsi="Times New Roman" w:eastAsia="仿宋_GB2312" w:cs="Times New Roman"/>
                <w:bCs/>
                <w:sz w:val="28"/>
                <w:szCs w:val="28"/>
              </w:rPr>
              <w:t>或刺激</w:t>
            </w:r>
          </w:p>
        </w:tc>
      </w:tr>
      <w:tr w14:paraId="6C37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1079" w:type="dxa"/>
            <w:vMerge w:val="continue"/>
            <w:vAlign w:val="center"/>
          </w:tcPr>
          <w:p w14:paraId="32883A85">
            <w:pPr>
              <w:spacing w:line="520" w:lineRule="exact"/>
              <w:ind w:right="-67" w:rightChars="-32"/>
              <w:jc w:val="center"/>
              <w:rPr>
                <w:rFonts w:ascii="Times New Roman" w:hAnsi="Times New Roman" w:eastAsia="仿宋_GB2312" w:cs="Times New Roman"/>
                <w:bCs/>
                <w:sz w:val="28"/>
                <w:szCs w:val="28"/>
              </w:rPr>
            </w:pPr>
          </w:p>
        </w:tc>
        <w:tc>
          <w:tcPr>
            <w:tcW w:w="1901" w:type="dxa"/>
            <w:vAlign w:val="center"/>
          </w:tcPr>
          <w:p w14:paraId="2F39CBB2">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化学危害</w:t>
            </w:r>
          </w:p>
        </w:tc>
        <w:tc>
          <w:tcPr>
            <w:tcW w:w="3321" w:type="dxa"/>
            <w:vAlign w:val="center"/>
          </w:tcPr>
          <w:p w14:paraId="272D4740">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对环氧乙烷残留量的控制未确认</w:t>
            </w:r>
            <w:r>
              <w:rPr>
                <w:rFonts w:hint="default" w:ascii="Times New Roman" w:hAnsi="Times New Roman" w:eastAsia="仿宋_GB2312" w:cs="Times New Roman"/>
                <w:bCs/>
                <w:sz w:val="28"/>
                <w:szCs w:val="28"/>
              </w:rPr>
              <w:t>，或未能按确认的结果实施控制，解析不彻底，致使环氧乙烷残留量超标。</w:t>
            </w:r>
          </w:p>
        </w:tc>
        <w:tc>
          <w:tcPr>
            <w:tcW w:w="2832" w:type="dxa"/>
            <w:vAlign w:val="center"/>
          </w:tcPr>
          <w:p w14:paraId="0F132324">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引起患者局部过敏</w:t>
            </w:r>
            <w:r>
              <w:rPr>
                <w:rFonts w:hint="eastAsia" w:ascii="Times New Roman" w:hAnsi="Times New Roman" w:eastAsia="仿宋_GB2312" w:cs="Times New Roman"/>
                <w:bCs/>
                <w:sz w:val="28"/>
                <w:szCs w:val="28"/>
              </w:rPr>
              <w:t>或刺激</w:t>
            </w:r>
          </w:p>
        </w:tc>
      </w:tr>
      <w:tr w14:paraId="269D6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1079" w:type="dxa"/>
            <w:vMerge w:val="restart"/>
            <w:vAlign w:val="center"/>
          </w:tcPr>
          <w:p w14:paraId="35DCF858">
            <w:pPr>
              <w:spacing w:line="520" w:lineRule="exact"/>
              <w:ind w:right="-67" w:rightChars="-32"/>
              <w:jc w:val="center"/>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可用性</w:t>
            </w:r>
          </w:p>
          <w:p w14:paraId="79300C86">
            <w:pPr>
              <w:spacing w:line="520" w:lineRule="exact"/>
              <w:ind w:right="-67" w:rightChars="-32"/>
              <w:jc w:val="center"/>
              <w:rPr>
                <w:rFonts w:ascii="Times New Roman" w:hAnsi="Times New Roman" w:eastAsia="仿宋_GB2312" w:cs="Times New Roman"/>
                <w:bCs/>
                <w:sz w:val="28"/>
                <w:szCs w:val="28"/>
              </w:rPr>
            </w:pPr>
          </w:p>
        </w:tc>
        <w:tc>
          <w:tcPr>
            <w:tcW w:w="1901" w:type="dxa"/>
            <w:vAlign w:val="center"/>
          </w:tcPr>
          <w:p w14:paraId="435D789A">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使用产品时未按照说明书中操作方法操作</w:t>
            </w:r>
          </w:p>
        </w:tc>
        <w:tc>
          <w:tcPr>
            <w:tcW w:w="3321" w:type="dxa"/>
            <w:vAlign w:val="center"/>
          </w:tcPr>
          <w:p w14:paraId="73E8729A">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错误操作；未采取相应的保护措施</w:t>
            </w:r>
          </w:p>
        </w:tc>
        <w:tc>
          <w:tcPr>
            <w:tcW w:w="2832" w:type="dxa"/>
          </w:tcPr>
          <w:p w14:paraId="378162CD">
            <w:pPr>
              <w:spacing w:line="520" w:lineRule="exact"/>
              <w:rPr>
                <w:rFonts w:ascii="Times New Roman" w:hAnsi="Times New Roman" w:eastAsia="仿宋_GB2312" w:cs="Times New Roman"/>
                <w:bCs/>
                <w:sz w:val="28"/>
                <w:szCs w:val="28"/>
              </w:rPr>
            </w:pPr>
            <w:r>
              <w:rPr>
                <w:rFonts w:ascii="Times New Roman" w:hAnsi="Times New Roman" w:eastAsia="仿宋_GB2312" w:cs="Times New Roman"/>
                <w:bCs/>
                <w:sz w:val="28"/>
                <w:szCs w:val="28"/>
              </w:rPr>
              <w:t>无法保证使用安全性</w:t>
            </w:r>
          </w:p>
          <w:p w14:paraId="79B818D4">
            <w:pPr>
              <w:spacing w:line="520" w:lineRule="exact"/>
              <w:rPr>
                <w:rFonts w:ascii="Times New Roman" w:hAnsi="Times New Roman" w:eastAsia="仿宋_GB2312" w:cs="Times New Roman"/>
                <w:bCs/>
                <w:sz w:val="28"/>
                <w:szCs w:val="28"/>
              </w:rPr>
            </w:pPr>
            <w:r>
              <w:rPr>
                <w:rFonts w:ascii="Times New Roman" w:hAnsi="Times New Roman" w:eastAsia="仿宋_GB2312" w:cs="Times New Roman"/>
                <w:bCs/>
                <w:sz w:val="28"/>
                <w:szCs w:val="28"/>
              </w:rPr>
              <w:t>导致操作失误</w:t>
            </w:r>
            <w:r>
              <w:rPr>
                <w:rFonts w:hint="eastAsia" w:ascii="Times New Roman" w:hAnsi="Times New Roman" w:eastAsia="仿宋_GB2312" w:cs="Times New Roman"/>
                <w:bCs/>
                <w:sz w:val="28"/>
                <w:szCs w:val="28"/>
              </w:rPr>
              <w:t>，导致无法达到满意的效果</w:t>
            </w:r>
          </w:p>
        </w:tc>
      </w:tr>
      <w:tr w14:paraId="06B6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0052DC45">
            <w:pPr>
              <w:spacing w:line="520" w:lineRule="exact"/>
              <w:ind w:right="-67" w:rightChars="-32"/>
              <w:rPr>
                <w:rFonts w:ascii="Times New Roman" w:hAnsi="Times New Roman" w:eastAsia="仿宋_GB2312" w:cs="Times New Roman"/>
                <w:bCs/>
                <w:sz w:val="28"/>
                <w:szCs w:val="28"/>
              </w:rPr>
            </w:pPr>
          </w:p>
        </w:tc>
        <w:tc>
          <w:tcPr>
            <w:tcW w:w="1901" w:type="dxa"/>
            <w:vAlign w:val="center"/>
          </w:tcPr>
          <w:p w14:paraId="05D8E430">
            <w:pPr>
              <w:spacing w:line="520" w:lineRule="exact"/>
              <w:rPr>
                <w:rFonts w:ascii="Times New Roman" w:hAnsi="Times New Roman" w:eastAsia="仿宋_GB2312" w:cs="Times New Roman"/>
                <w:bCs/>
                <w:sz w:val="28"/>
                <w:szCs w:val="28"/>
              </w:rPr>
            </w:pPr>
            <w:r>
              <w:rPr>
                <w:rFonts w:ascii="Times New Roman" w:hAnsi="Times New Roman" w:eastAsia="仿宋_GB2312" w:cs="Times New Roman"/>
                <w:bCs/>
                <w:sz w:val="28"/>
                <w:szCs w:val="28"/>
              </w:rPr>
              <w:t>忽视说明书中</w:t>
            </w:r>
            <w:r>
              <w:rPr>
                <w:rFonts w:hint="eastAsia" w:ascii="Times New Roman" w:hAnsi="Times New Roman" w:eastAsia="仿宋_GB2312" w:cs="Times New Roman"/>
                <w:bCs/>
                <w:sz w:val="28"/>
                <w:szCs w:val="28"/>
              </w:rPr>
              <w:t>禁忌证</w:t>
            </w:r>
            <w:r>
              <w:rPr>
                <w:rFonts w:ascii="Times New Roman" w:hAnsi="Times New Roman" w:eastAsia="仿宋_GB2312" w:cs="Times New Roman"/>
                <w:bCs/>
                <w:sz w:val="28"/>
                <w:szCs w:val="28"/>
              </w:rPr>
              <w:t>、警示信息等内容</w:t>
            </w:r>
          </w:p>
        </w:tc>
        <w:tc>
          <w:tcPr>
            <w:tcW w:w="3321" w:type="dxa"/>
            <w:vAlign w:val="center"/>
          </w:tcPr>
          <w:p w14:paraId="6CB6C3DA">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患者在使用过程中出现过敏</w:t>
            </w:r>
          </w:p>
        </w:tc>
        <w:tc>
          <w:tcPr>
            <w:tcW w:w="2832" w:type="dxa"/>
            <w:vAlign w:val="center"/>
          </w:tcPr>
          <w:p w14:paraId="3A84762C">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引起患者过敏</w:t>
            </w:r>
          </w:p>
        </w:tc>
      </w:tr>
      <w:tr w14:paraId="567D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18BFBEBE">
            <w:pPr>
              <w:spacing w:line="520" w:lineRule="exact"/>
              <w:ind w:right="-67" w:rightChars="-32"/>
              <w:rPr>
                <w:rFonts w:ascii="Times New Roman" w:hAnsi="Times New Roman" w:eastAsia="仿宋_GB2312" w:cs="Times New Roman"/>
                <w:bCs/>
                <w:sz w:val="28"/>
                <w:szCs w:val="28"/>
              </w:rPr>
            </w:pPr>
          </w:p>
        </w:tc>
        <w:tc>
          <w:tcPr>
            <w:tcW w:w="1901" w:type="dxa"/>
            <w:vAlign w:val="center"/>
          </w:tcPr>
          <w:p w14:paraId="0F054FB9">
            <w:pPr>
              <w:spacing w:line="520" w:lineRule="exact"/>
              <w:rPr>
                <w:rFonts w:ascii="Times New Roman" w:hAnsi="Times New Roman" w:eastAsia="仿宋_GB2312" w:cs="Times New Roman"/>
                <w:bCs/>
                <w:sz w:val="28"/>
                <w:szCs w:val="28"/>
              </w:rPr>
            </w:pPr>
            <w:r>
              <w:rPr>
                <w:rFonts w:ascii="Times New Roman" w:hAnsi="Times New Roman" w:eastAsia="仿宋_GB2312" w:cs="Times New Roman"/>
                <w:bCs/>
                <w:sz w:val="28"/>
                <w:szCs w:val="28"/>
              </w:rPr>
              <w:t>不正确的标签</w:t>
            </w:r>
          </w:p>
        </w:tc>
        <w:tc>
          <w:tcPr>
            <w:tcW w:w="3321" w:type="dxa"/>
            <w:vAlign w:val="center"/>
          </w:tcPr>
          <w:p w14:paraId="59D037BC">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外部标记不全面、标记不正确或不能够清楚易认</w:t>
            </w:r>
            <w:r>
              <w:rPr>
                <w:rFonts w:hint="eastAsia" w:ascii="Times New Roman" w:hAnsi="Times New Roman" w:eastAsia="仿宋_GB2312" w:cs="Times New Roman"/>
                <w:bCs/>
                <w:sz w:val="28"/>
                <w:szCs w:val="28"/>
                <w:lang w:eastAsia="zh-CN"/>
              </w:rPr>
              <w:t>。如</w:t>
            </w:r>
            <w:r>
              <w:rPr>
                <w:rFonts w:ascii="Times New Roman" w:hAnsi="Times New Roman" w:eastAsia="仿宋_GB2312" w:cs="Times New Roman"/>
                <w:bCs/>
                <w:sz w:val="28"/>
                <w:szCs w:val="28"/>
              </w:rPr>
              <w:t>产品不能被正确的</w:t>
            </w:r>
            <w:r>
              <w:rPr>
                <w:rFonts w:hint="default" w:ascii="Times New Roman" w:hAnsi="Times New Roman" w:eastAsia="仿宋_GB2312" w:cs="Times New Roman"/>
                <w:bCs/>
                <w:sz w:val="28"/>
                <w:szCs w:val="28"/>
              </w:rPr>
              <w:t>使用，重复使用，</w:t>
            </w:r>
            <w:r>
              <w:rPr>
                <w:rFonts w:hint="eastAsia" w:ascii="Times New Roman" w:hAnsi="Times New Roman" w:eastAsia="仿宋_GB2312" w:cs="Times New Roman"/>
                <w:bCs/>
                <w:sz w:val="28"/>
                <w:szCs w:val="28"/>
                <w:lang w:eastAsia="zh-CN"/>
              </w:rPr>
              <w:t>导致交叉感染，</w:t>
            </w:r>
            <w:r>
              <w:rPr>
                <w:rFonts w:hint="default" w:ascii="Times New Roman" w:hAnsi="Times New Roman" w:eastAsia="仿宋_GB2312" w:cs="Times New Roman"/>
                <w:bCs/>
                <w:sz w:val="28"/>
                <w:szCs w:val="28"/>
              </w:rPr>
              <w:t>危害患者健康。</w:t>
            </w:r>
          </w:p>
        </w:tc>
        <w:tc>
          <w:tcPr>
            <w:tcW w:w="2832" w:type="dxa"/>
            <w:vAlign w:val="center"/>
          </w:tcPr>
          <w:p w14:paraId="23F704BC">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错误使用；产品辨别错误</w:t>
            </w:r>
          </w:p>
        </w:tc>
      </w:tr>
      <w:tr w14:paraId="6EF1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1079" w:type="dxa"/>
            <w:vMerge w:val="continue"/>
            <w:vAlign w:val="center"/>
          </w:tcPr>
          <w:p w14:paraId="23EC231C">
            <w:pPr>
              <w:spacing w:line="520" w:lineRule="exact"/>
              <w:ind w:right="-67" w:rightChars="-32"/>
              <w:rPr>
                <w:rFonts w:ascii="Times New Roman" w:hAnsi="Times New Roman" w:eastAsia="仿宋_GB2312" w:cs="Times New Roman"/>
                <w:bCs/>
                <w:sz w:val="28"/>
                <w:szCs w:val="28"/>
              </w:rPr>
            </w:pPr>
          </w:p>
        </w:tc>
        <w:tc>
          <w:tcPr>
            <w:tcW w:w="1901" w:type="dxa"/>
            <w:vAlign w:val="center"/>
          </w:tcPr>
          <w:p w14:paraId="350BA304">
            <w:pPr>
              <w:spacing w:line="520" w:lineRule="exact"/>
              <w:rPr>
                <w:rFonts w:ascii="Times New Roman" w:hAnsi="Times New Roman" w:eastAsia="仿宋_GB2312" w:cs="Times New Roman"/>
                <w:bCs/>
                <w:sz w:val="28"/>
                <w:szCs w:val="28"/>
              </w:rPr>
            </w:pPr>
            <w:r>
              <w:rPr>
                <w:rFonts w:ascii="Times New Roman" w:hAnsi="Times New Roman" w:eastAsia="仿宋_GB2312" w:cs="Times New Roman"/>
                <w:bCs/>
                <w:sz w:val="28"/>
                <w:szCs w:val="28"/>
              </w:rPr>
              <w:t>不正确的说明书；说明书上的注意事项、</w:t>
            </w:r>
            <w:r>
              <w:rPr>
                <w:rFonts w:hint="eastAsia" w:ascii="Times New Roman" w:hAnsi="Times New Roman" w:eastAsia="仿宋_GB2312" w:cs="Times New Roman"/>
                <w:bCs/>
                <w:sz w:val="28"/>
                <w:szCs w:val="28"/>
              </w:rPr>
              <w:t>禁忌证</w:t>
            </w:r>
            <w:r>
              <w:rPr>
                <w:rFonts w:ascii="Times New Roman" w:hAnsi="Times New Roman" w:eastAsia="仿宋_GB2312" w:cs="Times New Roman"/>
                <w:bCs/>
                <w:sz w:val="28"/>
                <w:szCs w:val="28"/>
              </w:rPr>
              <w:t>不全</w:t>
            </w:r>
          </w:p>
        </w:tc>
        <w:tc>
          <w:tcPr>
            <w:tcW w:w="3321" w:type="dxa"/>
            <w:vAlign w:val="center"/>
          </w:tcPr>
          <w:p w14:paraId="1A79B2FD">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缺少详细的使用方法、必要的警告说明</w:t>
            </w:r>
          </w:p>
        </w:tc>
        <w:tc>
          <w:tcPr>
            <w:tcW w:w="2832" w:type="dxa"/>
            <w:vAlign w:val="center"/>
          </w:tcPr>
          <w:p w14:paraId="49D441EA">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错误操作；无法保证使用安全有效性</w:t>
            </w:r>
          </w:p>
        </w:tc>
      </w:tr>
      <w:tr w14:paraId="3D12A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9" w:type="dxa"/>
            <w:vMerge w:val="restart"/>
            <w:vAlign w:val="center"/>
          </w:tcPr>
          <w:p w14:paraId="45FD7E96">
            <w:pPr>
              <w:spacing w:line="520" w:lineRule="exact"/>
              <w:ind w:right="-67" w:rightChars="-32"/>
              <w:rPr>
                <w:rFonts w:ascii="Times New Roman" w:hAnsi="Times New Roman" w:eastAsia="仿宋_GB2312" w:cs="Times New Roman"/>
                <w:bCs/>
                <w:sz w:val="28"/>
                <w:szCs w:val="28"/>
              </w:rPr>
            </w:pPr>
            <w:r>
              <w:rPr>
                <w:rFonts w:hint="eastAsia" w:ascii="Times New Roman" w:hAnsi="Times New Roman" w:eastAsia="仿宋_GB2312" w:cs="Times New Roman"/>
                <w:bCs/>
                <w:sz w:val="28"/>
                <w:szCs w:val="28"/>
              </w:rPr>
              <w:t>功能性</w:t>
            </w:r>
          </w:p>
        </w:tc>
        <w:tc>
          <w:tcPr>
            <w:tcW w:w="1901" w:type="dxa"/>
            <w:vAlign w:val="center"/>
          </w:tcPr>
          <w:p w14:paraId="28EE19BC">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对医疗器械寿命终止缺少适当的决定</w:t>
            </w:r>
          </w:p>
        </w:tc>
        <w:tc>
          <w:tcPr>
            <w:tcW w:w="3321" w:type="dxa"/>
            <w:vAlign w:val="center"/>
          </w:tcPr>
          <w:p w14:paraId="515E0196">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没有标识产品有效期</w:t>
            </w:r>
          </w:p>
        </w:tc>
        <w:tc>
          <w:tcPr>
            <w:tcW w:w="2832" w:type="dxa"/>
            <w:vAlign w:val="center"/>
          </w:tcPr>
          <w:p w14:paraId="1E6FAB7D">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超出有效期的产品被使用，可能会引起患者细菌感染，或因材料老化产生而导致产品性能不符合要求</w:t>
            </w:r>
          </w:p>
        </w:tc>
      </w:tr>
      <w:tr w14:paraId="41A6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jc w:val="center"/>
        </w:trPr>
        <w:tc>
          <w:tcPr>
            <w:tcW w:w="1079" w:type="dxa"/>
            <w:vMerge w:val="continue"/>
            <w:vAlign w:val="center"/>
          </w:tcPr>
          <w:p w14:paraId="0F694625">
            <w:pPr>
              <w:spacing w:line="520" w:lineRule="exact"/>
              <w:ind w:right="-67" w:rightChars="-32"/>
              <w:rPr>
                <w:rFonts w:ascii="Times New Roman" w:hAnsi="Times New Roman" w:eastAsia="仿宋_GB2312" w:cs="Times New Roman"/>
                <w:bCs/>
                <w:sz w:val="28"/>
                <w:szCs w:val="28"/>
              </w:rPr>
            </w:pPr>
          </w:p>
        </w:tc>
        <w:tc>
          <w:tcPr>
            <w:tcW w:w="1901" w:type="dxa"/>
            <w:vAlign w:val="center"/>
          </w:tcPr>
          <w:p w14:paraId="54B4AA72">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不适当的产品包装（产品污染和／或变性）</w:t>
            </w:r>
          </w:p>
        </w:tc>
        <w:tc>
          <w:tcPr>
            <w:tcW w:w="3321" w:type="dxa"/>
            <w:vAlign w:val="center"/>
          </w:tcPr>
          <w:p w14:paraId="31FBA950">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生产、运输、搬运和储存过程中导致包装破损；包装封口不严密；包装材料选择不适当；使用前未检查产品包装状态</w:t>
            </w:r>
          </w:p>
        </w:tc>
        <w:tc>
          <w:tcPr>
            <w:tcW w:w="2832" w:type="dxa"/>
            <w:vAlign w:val="center"/>
          </w:tcPr>
          <w:p w14:paraId="1E9B29FF">
            <w:pPr>
              <w:spacing w:line="520" w:lineRule="exact"/>
              <w:ind w:right="-67" w:rightChars="-32"/>
              <w:rPr>
                <w:rFonts w:ascii="Times New Roman" w:hAnsi="Times New Roman" w:eastAsia="仿宋_GB2312" w:cs="Times New Roman"/>
                <w:bCs/>
                <w:sz w:val="28"/>
                <w:szCs w:val="28"/>
              </w:rPr>
            </w:pPr>
            <w:r>
              <w:rPr>
                <w:rFonts w:ascii="Times New Roman" w:hAnsi="Times New Roman" w:eastAsia="仿宋_GB2312" w:cs="Times New Roman"/>
                <w:bCs/>
                <w:sz w:val="28"/>
                <w:szCs w:val="28"/>
              </w:rPr>
              <w:t>产品使用性能无法得到保证</w:t>
            </w:r>
          </w:p>
        </w:tc>
      </w:tr>
    </w:tbl>
    <w:p w14:paraId="2308CFAE">
      <w:pPr>
        <w:widowControl/>
        <w:overflowPunct w:val="0"/>
        <w:spacing w:line="520" w:lineRule="exact"/>
        <w:jc w:val="left"/>
        <w:rPr>
          <w:rFonts w:ascii="Times New Roman" w:hAnsi="Times New Roman" w:eastAsia="仿宋_GB2312" w:cs="Times New Roman"/>
          <w:kern w:val="0"/>
          <w:sz w:val="32"/>
          <w:szCs w:val="32"/>
        </w:rPr>
      </w:pPr>
    </w:p>
    <w:sectPr>
      <w:footerReference r:id="rId3" w:type="default"/>
      <w:pgSz w:w="11906" w:h="16838"/>
      <w:pgMar w:top="2098" w:right="1588" w:bottom="2098" w:left="1588" w:header="851" w:footer="992" w:gutter="0"/>
      <w:lnNumType w:countBy="1" w:restart="continuou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891C">
    <w:pPr>
      <w:pStyle w:val="5"/>
    </w:pPr>
    <w:r>
      <w:pict>
        <v:shape id="_x0000_s3073" o:spid="_x0000_s3073" o:spt="202" type="#_x0000_t202" style="position:absolute;left:0pt;margin-top:-29.55pt;height:144pt;width:144pt;mso-position-horizontal:outside;mso-position-horizontal-relative:margin;mso-wrap-style:none;z-index:251659264;mso-width-relative:page;mso-height-relative:page;" filled="f" stroked="f" coordsize="21600,21600" o:gfxdata="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6zpxdYAAAAIAQAADwAAAAAAAAAB&#10;ACAAAAAiAAAAZHJzL2Rvd25yZXYueG1sUEsBAhQAFAAAAAgAh07iQErbzf8SAgAAEwQAAA4AAAAA&#10;AAAAAQAgAAAAJQEAAGRycy9lMm9Eb2MueG1sUEsFBgAAAAAGAAYAWQEAAKkFAAAAAA==&#10;">
          <v:path/>
          <v:fill on="f" focussize="0,0"/>
          <v:stroke on="f" weight="0.5pt" joinstyle="miter"/>
          <v:imagedata o:title=""/>
          <o:lock v:ext="edit"/>
          <v:textbox inset="0mm,0mm,0mm,0mm" style="mso-fit-shape-to-text:t;">
            <w:txbxContent>
              <w:p w14:paraId="298A687D">
                <w:pPr>
                  <w:pStyle w:val="5"/>
                </w:pPr>
                <w:r>
                  <w:rPr>
                    <w:rFonts w:hint="eastAsia"/>
                    <w:color w:val="FFFFFF" w:themeColor="background1"/>
                    <w:sz w:val="28"/>
                    <w:szCs w:val="28"/>
                  </w:rPr>
                  <w:t>—</w:t>
                </w:r>
                <w:r>
                  <w:rPr>
                    <w:rFonts w:hint="eastAsia"/>
                    <w:sz w:val="28"/>
                    <w:szCs w:val="28"/>
                  </w:rPr>
                  <w:t>—</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13</w:t>
                </w:r>
                <w:r>
                  <w:rPr>
                    <w:rFonts w:ascii="Times New Roman" w:hAnsi="Times New Roman" w:cs="Times New Roman"/>
                    <w:sz w:val="28"/>
                    <w:szCs w:val="28"/>
                  </w:rPr>
                  <w:fldChar w:fldCharType="end"/>
                </w:r>
                <w:r>
                  <w:rPr>
                    <w:rFonts w:hint="eastAsia"/>
                    <w:sz w:val="28"/>
                    <w:szCs w:val="28"/>
                  </w:rPr>
                  <w:t>—</w:t>
                </w:r>
                <w:r>
                  <w:rPr>
                    <w:rFonts w:hint="eastAsia"/>
                    <w:color w:val="FFFFFF" w:themeColor="background1"/>
                    <w:sz w:val="28"/>
                    <w:szCs w:val="28"/>
                  </w:rPr>
                  <w:t>—</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sz w:val="21"/>
        <w:szCs w:val="21"/>
      </w:rPr>
    </w:lvl>
    <w:lvl w:ilvl="1" w:tentative="0">
      <w:start w:val="1"/>
      <w:numFmt w:val="decimal"/>
      <w:pStyle w:val="18"/>
      <w:suff w:val="nothing"/>
      <w:lvlText w:val="%1.%2　"/>
      <w:lvlJc w:val="left"/>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7"/>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ThmNjAzMWJlZjFkMmQwODUwMTJkYzE2ODFiYmFmYTcifQ=="/>
  </w:docVars>
  <w:rsids>
    <w:rsidRoot w:val="00D4787B"/>
    <w:rsid w:val="000000EC"/>
    <w:rsid w:val="00001CB8"/>
    <w:rsid w:val="00002D41"/>
    <w:rsid w:val="000072A6"/>
    <w:rsid w:val="000076BE"/>
    <w:rsid w:val="00010C27"/>
    <w:rsid w:val="00011079"/>
    <w:rsid w:val="00012743"/>
    <w:rsid w:val="000151DE"/>
    <w:rsid w:val="00015FC7"/>
    <w:rsid w:val="000201FC"/>
    <w:rsid w:val="0002311A"/>
    <w:rsid w:val="00023E39"/>
    <w:rsid w:val="000250E1"/>
    <w:rsid w:val="00026932"/>
    <w:rsid w:val="00036F27"/>
    <w:rsid w:val="000404D4"/>
    <w:rsid w:val="0004187F"/>
    <w:rsid w:val="00042622"/>
    <w:rsid w:val="00043D7F"/>
    <w:rsid w:val="00051374"/>
    <w:rsid w:val="00051F55"/>
    <w:rsid w:val="000525B0"/>
    <w:rsid w:val="000543C9"/>
    <w:rsid w:val="00056A5B"/>
    <w:rsid w:val="00056BA8"/>
    <w:rsid w:val="00056EAE"/>
    <w:rsid w:val="00060C45"/>
    <w:rsid w:val="00062F2B"/>
    <w:rsid w:val="00063B5B"/>
    <w:rsid w:val="00063BC0"/>
    <w:rsid w:val="000653C9"/>
    <w:rsid w:val="000673D0"/>
    <w:rsid w:val="000715CC"/>
    <w:rsid w:val="00072147"/>
    <w:rsid w:val="00072360"/>
    <w:rsid w:val="00072ED4"/>
    <w:rsid w:val="00074522"/>
    <w:rsid w:val="00074AA8"/>
    <w:rsid w:val="00074DE8"/>
    <w:rsid w:val="000774C7"/>
    <w:rsid w:val="000775A7"/>
    <w:rsid w:val="000827CF"/>
    <w:rsid w:val="00087E72"/>
    <w:rsid w:val="00091B96"/>
    <w:rsid w:val="00092189"/>
    <w:rsid w:val="0009461A"/>
    <w:rsid w:val="000A0383"/>
    <w:rsid w:val="000A313F"/>
    <w:rsid w:val="000A4B3E"/>
    <w:rsid w:val="000A52B0"/>
    <w:rsid w:val="000A638E"/>
    <w:rsid w:val="000B03A8"/>
    <w:rsid w:val="000B0F6F"/>
    <w:rsid w:val="000B1C14"/>
    <w:rsid w:val="000B2C44"/>
    <w:rsid w:val="000B2FCA"/>
    <w:rsid w:val="000B42ED"/>
    <w:rsid w:val="000B4C9C"/>
    <w:rsid w:val="000B5AE3"/>
    <w:rsid w:val="000B605D"/>
    <w:rsid w:val="000C0A2F"/>
    <w:rsid w:val="000C282E"/>
    <w:rsid w:val="000C49C2"/>
    <w:rsid w:val="000C5009"/>
    <w:rsid w:val="000C7597"/>
    <w:rsid w:val="000D06A3"/>
    <w:rsid w:val="000D0B66"/>
    <w:rsid w:val="000D1308"/>
    <w:rsid w:val="000D29C8"/>
    <w:rsid w:val="000D43CA"/>
    <w:rsid w:val="000D5ACC"/>
    <w:rsid w:val="000D6174"/>
    <w:rsid w:val="000D6193"/>
    <w:rsid w:val="000D705E"/>
    <w:rsid w:val="000D7F72"/>
    <w:rsid w:val="000E36B3"/>
    <w:rsid w:val="000E4395"/>
    <w:rsid w:val="000E4487"/>
    <w:rsid w:val="000E5B15"/>
    <w:rsid w:val="000F05B4"/>
    <w:rsid w:val="000F302A"/>
    <w:rsid w:val="000F651D"/>
    <w:rsid w:val="000F6D4E"/>
    <w:rsid w:val="00100DD3"/>
    <w:rsid w:val="00100DE1"/>
    <w:rsid w:val="00100F58"/>
    <w:rsid w:val="00101AA9"/>
    <w:rsid w:val="00101DE4"/>
    <w:rsid w:val="00102565"/>
    <w:rsid w:val="00104D33"/>
    <w:rsid w:val="00105DDD"/>
    <w:rsid w:val="00106221"/>
    <w:rsid w:val="0011034B"/>
    <w:rsid w:val="001119AA"/>
    <w:rsid w:val="001131DD"/>
    <w:rsid w:val="00114B88"/>
    <w:rsid w:val="001159D6"/>
    <w:rsid w:val="00116D2D"/>
    <w:rsid w:val="0011740D"/>
    <w:rsid w:val="00125128"/>
    <w:rsid w:val="00127B97"/>
    <w:rsid w:val="001305EA"/>
    <w:rsid w:val="00131253"/>
    <w:rsid w:val="00131939"/>
    <w:rsid w:val="001330E6"/>
    <w:rsid w:val="0013330A"/>
    <w:rsid w:val="00133642"/>
    <w:rsid w:val="001346BE"/>
    <w:rsid w:val="00136061"/>
    <w:rsid w:val="00137412"/>
    <w:rsid w:val="00137EC6"/>
    <w:rsid w:val="001408DC"/>
    <w:rsid w:val="001446F8"/>
    <w:rsid w:val="00144B4B"/>
    <w:rsid w:val="00146E00"/>
    <w:rsid w:val="00150D05"/>
    <w:rsid w:val="00153C84"/>
    <w:rsid w:val="00156815"/>
    <w:rsid w:val="0016092A"/>
    <w:rsid w:val="00163359"/>
    <w:rsid w:val="00164C93"/>
    <w:rsid w:val="00166116"/>
    <w:rsid w:val="00171100"/>
    <w:rsid w:val="00172DF8"/>
    <w:rsid w:val="00174180"/>
    <w:rsid w:val="0017506D"/>
    <w:rsid w:val="0017787E"/>
    <w:rsid w:val="00182B6C"/>
    <w:rsid w:val="00186DFF"/>
    <w:rsid w:val="00187A7F"/>
    <w:rsid w:val="001900EC"/>
    <w:rsid w:val="00192E70"/>
    <w:rsid w:val="001942AB"/>
    <w:rsid w:val="001A4C7F"/>
    <w:rsid w:val="001A6796"/>
    <w:rsid w:val="001A6CE0"/>
    <w:rsid w:val="001A7BF8"/>
    <w:rsid w:val="001B210B"/>
    <w:rsid w:val="001B39FD"/>
    <w:rsid w:val="001B3FEE"/>
    <w:rsid w:val="001B5460"/>
    <w:rsid w:val="001B6115"/>
    <w:rsid w:val="001B6DFE"/>
    <w:rsid w:val="001B7A79"/>
    <w:rsid w:val="001C0F0F"/>
    <w:rsid w:val="001C1A8A"/>
    <w:rsid w:val="001C29DE"/>
    <w:rsid w:val="001C34A9"/>
    <w:rsid w:val="001C351F"/>
    <w:rsid w:val="001C7241"/>
    <w:rsid w:val="001D0231"/>
    <w:rsid w:val="001D1136"/>
    <w:rsid w:val="001D16C3"/>
    <w:rsid w:val="001D1979"/>
    <w:rsid w:val="001D31F1"/>
    <w:rsid w:val="001D5E05"/>
    <w:rsid w:val="001E0202"/>
    <w:rsid w:val="001E0CBA"/>
    <w:rsid w:val="001E287F"/>
    <w:rsid w:val="001E2DB1"/>
    <w:rsid w:val="001E50E0"/>
    <w:rsid w:val="001E656F"/>
    <w:rsid w:val="001F1662"/>
    <w:rsid w:val="001F1F9E"/>
    <w:rsid w:val="001F578F"/>
    <w:rsid w:val="001F6053"/>
    <w:rsid w:val="001F605E"/>
    <w:rsid w:val="001F67FA"/>
    <w:rsid w:val="001F69C4"/>
    <w:rsid w:val="00200035"/>
    <w:rsid w:val="002006C6"/>
    <w:rsid w:val="002007DE"/>
    <w:rsid w:val="00201359"/>
    <w:rsid w:val="002022AA"/>
    <w:rsid w:val="00205CBB"/>
    <w:rsid w:val="0020771E"/>
    <w:rsid w:val="00212D66"/>
    <w:rsid w:val="002144D6"/>
    <w:rsid w:val="00215B69"/>
    <w:rsid w:val="00216164"/>
    <w:rsid w:val="00217246"/>
    <w:rsid w:val="00217548"/>
    <w:rsid w:val="00217962"/>
    <w:rsid w:val="00217B77"/>
    <w:rsid w:val="00220E47"/>
    <w:rsid w:val="00221793"/>
    <w:rsid w:val="00221C0F"/>
    <w:rsid w:val="00222B0C"/>
    <w:rsid w:val="00222B83"/>
    <w:rsid w:val="0022336C"/>
    <w:rsid w:val="00223F58"/>
    <w:rsid w:val="002246A5"/>
    <w:rsid w:val="00225201"/>
    <w:rsid w:val="00231B8D"/>
    <w:rsid w:val="00231D96"/>
    <w:rsid w:val="00235B1F"/>
    <w:rsid w:val="0023733F"/>
    <w:rsid w:val="00242280"/>
    <w:rsid w:val="0024376D"/>
    <w:rsid w:val="00247580"/>
    <w:rsid w:val="002475C2"/>
    <w:rsid w:val="002478B8"/>
    <w:rsid w:val="002516DB"/>
    <w:rsid w:val="002527A1"/>
    <w:rsid w:val="00253A76"/>
    <w:rsid w:val="00254C5B"/>
    <w:rsid w:val="00255198"/>
    <w:rsid w:val="00255AF7"/>
    <w:rsid w:val="00257DAB"/>
    <w:rsid w:val="002622D7"/>
    <w:rsid w:val="00264407"/>
    <w:rsid w:val="00265F50"/>
    <w:rsid w:val="00267049"/>
    <w:rsid w:val="00267831"/>
    <w:rsid w:val="0027004F"/>
    <w:rsid w:val="00272758"/>
    <w:rsid w:val="00272908"/>
    <w:rsid w:val="00272D5F"/>
    <w:rsid w:val="00273623"/>
    <w:rsid w:val="0027455A"/>
    <w:rsid w:val="00280B49"/>
    <w:rsid w:val="00283B39"/>
    <w:rsid w:val="00283E1B"/>
    <w:rsid w:val="00287173"/>
    <w:rsid w:val="002875A2"/>
    <w:rsid w:val="00287915"/>
    <w:rsid w:val="00291F27"/>
    <w:rsid w:val="0029347C"/>
    <w:rsid w:val="00294961"/>
    <w:rsid w:val="00295B4A"/>
    <w:rsid w:val="00296EE9"/>
    <w:rsid w:val="002A161D"/>
    <w:rsid w:val="002A2E69"/>
    <w:rsid w:val="002A4346"/>
    <w:rsid w:val="002A4A09"/>
    <w:rsid w:val="002B10C2"/>
    <w:rsid w:val="002B2894"/>
    <w:rsid w:val="002B3B5F"/>
    <w:rsid w:val="002B3F5F"/>
    <w:rsid w:val="002B5E2C"/>
    <w:rsid w:val="002B6A24"/>
    <w:rsid w:val="002C17B3"/>
    <w:rsid w:val="002C21BD"/>
    <w:rsid w:val="002C5EAC"/>
    <w:rsid w:val="002C7AF6"/>
    <w:rsid w:val="002D0F88"/>
    <w:rsid w:val="002D122C"/>
    <w:rsid w:val="002D3C37"/>
    <w:rsid w:val="002D6900"/>
    <w:rsid w:val="002E278B"/>
    <w:rsid w:val="002E45BB"/>
    <w:rsid w:val="002E538B"/>
    <w:rsid w:val="002E61B1"/>
    <w:rsid w:val="002E6239"/>
    <w:rsid w:val="002E633F"/>
    <w:rsid w:val="002E6914"/>
    <w:rsid w:val="002E7881"/>
    <w:rsid w:val="002F00C1"/>
    <w:rsid w:val="002F0615"/>
    <w:rsid w:val="002F1595"/>
    <w:rsid w:val="002F384F"/>
    <w:rsid w:val="002F5DFD"/>
    <w:rsid w:val="00301AD7"/>
    <w:rsid w:val="003030AC"/>
    <w:rsid w:val="00305455"/>
    <w:rsid w:val="0031009F"/>
    <w:rsid w:val="003103F3"/>
    <w:rsid w:val="0031059C"/>
    <w:rsid w:val="003105DF"/>
    <w:rsid w:val="003166FF"/>
    <w:rsid w:val="00316D6E"/>
    <w:rsid w:val="00320173"/>
    <w:rsid w:val="00321F9B"/>
    <w:rsid w:val="00322137"/>
    <w:rsid w:val="003241AE"/>
    <w:rsid w:val="00325550"/>
    <w:rsid w:val="00326473"/>
    <w:rsid w:val="003271F1"/>
    <w:rsid w:val="0033058E"/>
    <w:rsid w:val="0033126B"/>
    <w:rsid w:val="0033390D"/>
    <w:rsid w:val="00333D9E"/>
    <w:rsid w:val="00334ADE"/>
    <w:rsid w:val="0033505A"/>
    <w:rsid w:val="00342F2E"/>
    <w:rsid w:val="00342F95"/>
    <w:rsid w:val="00343544"/>
    <w:rsid w:val="003435E4"/>
    <w:rsid w:val="0035155C"/>
    <w:rsid w:val="0035320C"/>
    <w:rsid w:val="003532EE"/>
    <w:rsid w:val="00354CB8"/>
    <w:rsid w:val="003557D3"/>
    <w:rsid w:val="00355917"/>
    <w:rsid w:val="00355FCE"/>
    <w:rsid w:val="00356935"/>
    <w:rsid w:val="00357301"/>
    <w:rsid w:val="0035762E"/>
    <w:rsid w:val="0036078E"/>
    <w:rsid w:val="00362FC2"/>
    <w:rsid w:val="00363678"/>
    <w:rsid w:val="0036775C"/>
    <w:rsid w:val="00367F38"/>
    <w:rsid w:val="00370047"/>
    <w:rsid w:val="00370BBB"/>
    <w:rsid w:val="0037123A"/>
    <w:rsid w:val="003727B3"/>
    <w:rsid w:val="0037361F"/>
    <w:rsid w:val="00373A45"/>
    <w:rsid w:val="00374171"/>
    <w:rsid w:val="00375313"/>
    <w:rsid w:val="00375954"/>
    <w:rsid w:val="00375F9A"/>
    <w:rsid w:val="00376A2B"/>
    <w:rsid w:val="00377DBA"/>
    <w:rsid w:val="003808C8"/>
    <w:rsid w:val="00381708"/>
    <w:rsid w:val="00381E8A"/>
    <w:rsid w:val="003827DA"/>
    <w:rsid w:val="003836C2"/>
    <w:rsid w:val="00385F15"/>
    <w:rsid w:val="003868FC"/>
    <w:rsid w:val="0038779D"/>
    <w:rsid w:val="00387CBB"/>
    <w:rsid w:val="0039157A"/>
    <w:rsid w:val="00392534"/>
    <w:rsid w:val="0039516E"/>
    <w:rsid w:val="003954AC"/>
    <w:rsid w:val="00396834"/>
    <w:rsid w:val="003975F9"/>
    <w:rsid w:val="003A2530"/>
    <w:rsid w:val="003A2F06"/>
    <w:rsid w:val="003A3720"/>
    <w:rsid w:val="003A38D2"/>
    <w:rsid w:val="003A3C8B"/>
    <w:rsid w:val="003A6E4C"/>
    <w:rsid w:val="003B0676"/>
    <w:rsid w:val="003B0A93"/>
    <w:rsid w:val="003B19EC"/>
    <w:rsid w:val="003B1D59"/>
    <w:rsid w:val="003B2389"/>
    <w:rsid w:val="003B2D89"/>
    <w:rsid w:val="003B446A"/>
    <w:rsid w:val="003B4476"/>
    <w:rsid w:val="003B4E8A"/>
    <w:rsid w:val="003B60F8"/>
    <w:rsid w:val="003B7A20"/>
    <w:rsid w:val="003C1F09"/>
    <w:rsid w:val="003C2343"/>
    <w:rsid w:val="003C3CBC"/>
    <w:rsid w:val="003C620F"/>
    <w:rsid w:val="003D25ED"/>
    <w:rsid w:val="003D262F"/>
    <w:rsid w:val="003D751D"/>
    <w:rsid w:val="003E0687"/>
    <w:rsid w:val="003E0B1F"/>
    <w:rsid w:val="003E0FF2"/>
    <w:rsid w:val="003E15AB"/>
    <w:rsid w:val="003E1854"/>
    <w:rsid w:val="003F3122"/>
    <w:rsid w:val="003F5301"/>
    <w:rsid w:val="003F628F"/>
    <w:rsid w:val="00401C93"/>
    <w:rsid w:val="00401CDA"/>
    <w:rsid w:val="004021B0"/>
    <w:rsid w:val="004026EB"/>
    <w:rsid w:val="004030D2"/>
    <w:rsid w:val="00403AF5"/>
    <w:rsid w:val="004078ED"/>
    <w:rsid w:val="00407AA9"/>
    <w:rsid w:val="004138B6"/>
    <w:rsid w:val="0041660A"/>
    <w:rsid w:val="00416C24"/>
    <w:rsid w:val="00416ED4"/>
    <w:rsid w:val="00420B96"/>
    <w:rsid w:val="00420DBF"/>
    <w:rsid w:val="00421459"/>
    <w:rsid w:val="00424D52"/>
    <w:rsid w:val="00430B0E"/>
    <w:rsid w:val="0043447E"/>
    <w:rsid w:val="0043449B"/>
    <w:rsid w:val="00434C69"/>
    <w:rsid w:val="00440D67"/>
    <w:rsid w:val="004415F3"/>
    <w:rsid w:val="00441CC3"/>
    <w:rsid w:val="00442561"/>
    <w:rsid w:val="00442B38"/>
    <w:rsid w:val="004433C2"/>
    <w:rsid w:val="00446766"/>
    <w:rsid w:val="00446B95"/>
    <w:rsid w:val="00447339"/>
    <w:rsid w:val="00447AAB"/>
    <w:rsid w:val="00450A27"/>
    <w:rsid w:val="00453276"/>
    <w:rsid w:val="00453FE5"/>
    <w:rsid w:val="0045466D"/>
    <w:rsid w:val="00455117"/>
    <w:rsid w:val="004564FF"/>
    <w:rsid w:val="00457E71"/>
    <w:rsid w:val="00460295"/>
    <w:rsid w:val="00460F99"/>
    <w:rsid w:val="00462D5D"/>
    <w:rsid w:val="00462F39"/>
    <w:rsid w:val="00464C04"/>
    <w:rsid w:val="00464E0C"/>
    <w:rsid w:val="0046563A"/>
    <w:rsid w:val="00467C1E"/>
    <w:rsid w:val="00471DB2"/>
    <w:rsid w:val="00472363"/>
    <w:rsid w:val="0047354E"/>
    <w:rsid w:val="00473ED0"/>
    <w:rsid w:val="00474546"/>
    <w:rsid w:val="004745FF"/>
    <w:rsid w:val="0047513E"/>
    <w:rsid w:val="00480358"/>
    <w:rsid w:val="00480580"/>
    <w:rsid w:val="00483FAA"/>
    <w:rsid w:val="00485214"/>
    <w:rsid w:val="004870C0"/>
    <w:rsid w:val="0048770D"/>
    <w:rsid w:val="00490189"/>
    <w:rsid w:val="004960F7"/>
    <w:rsid w:val="00496818"/>
    <w:rsid w:val="00497375"/>
    <w:rsid w:val="004A0C55"/>
    <w:rsid w:val="004A24B3"/>
    <w:rsid w:val="004A2835"/>
    <w:rsid w:val="004A2A5B"/>
    <w:rsid w:val="004A39DA"/>
    <w:rsid w:val="004A4486"/>
    <w:rsid w:val="004A4FC5"/>
    <w:rsid w:val="004A6092"/>
    <w:rsid w:val="004A69BD"/>
    <w:rsid w:val="004A6EC4"/>
    <w:rsid w:val="004A754A"/>
    <w:rsid w:val="004B0047"/>
    <w:rsid w:val="004B0516"/>
    <w:rsid w:val="004B16A1"/>
    <w:rsid w:val="004B367D"/>
    <w:rsid w:val="004B4203"/>
    <w:rsid w:val="004B48F9"/>
    <w:rsid w:val="004B7646"/>
    <w:rsid w:val="004C41CA"/>
    <w:rsid w:val="004D0DBD"/>
    <w:rsid w:val="004D14D2"/>
    <w:rsid w:val="004D35EC"/>
    <w:rsid w:val="004D3B68"/>
    <w:rsid w:val="004D44CF"/>
    <w:rsid w:val="004D791F"/>
    <w:rsid w:val="004E0106"/>
    <w:rsid w:val="004E1EAE"/>
    <w:rsid w:val="004E29EE"/>
    <w:rsid w:val="004E393B"/>
    <w:rsid w:val="004E5FA9"/>
    <w:rsid w:val="004E60F6"/>
    <w:rsid w:val="004E6152"/>
    <w:rsid w:val="004E6F05"/>
    <w:rsid w:val="004F3104"/>
    <w:rsid w:val="004F3F6F"/>
    <w:rsid w:val="004F4C83"/>
    <w:rsid w:val="00500368"/>
    <w:rsid w:val="00501168"/>
    <w:rsid w:val="00501344"/>
    <w:rsid w:val="00501CC0"/>
    <w:rsid w:val="00501E3F"/>
    <w:rsid w:val="005025EB"/>
    <w:rsid w:val="00502F8C"/>
    <w:rsid w:val="00503D28"/>
    <w:rsid w:val="00504095"/>
    <w:rsid w:val="0051041F"/>
    <w:rsid w:val="0051306C"/>
    <w:rsid w:val="0051420F"/>
    <w:rsid w:val="00514FAF"/>
    <w:rsid w:val="00515091"/>
    <w:rsid w:val="0051764E"/>
    <w:rsid w:val="00520FAE"/>
    <w:rsid w:val="0052351C"/>
    <w:rsid w:val="005235E6"/>
    <w:rsid w:val="00524467"/>
    <w:rsid w:val="0052519C"/>
    <w:rsid w:val="005278D6"/>
    <w:rsid w:val="005326E6"/>
    <w:rsid w:val="0053396C"/>
    <w:rsid w:val="00533DB1"/>
    <w:rsid w:val="00534C4C"/>
    <w:rsid w:val="00540C1C"/>
    <w:rsid w:val="00540D9F"/>
    <w:rsid w:val="00542688"/>
    <w:rsid w:val="005456E3"/>
    <w:rsid w:val="00545771"/>
    <w:rsid w:val="005461C0"/>
    <w:rsid w:val="005464D2"/>
    <w:rsid w:val="00546AA2"/>
    <w:rsid w:val="0054734F"/>
    <w:rsid w:val="005474AF"/>
    <w:rsid w:val="00550FB3"/>
    <w:rsid w:val="005531B2"/>
    <w:rsid w:val="0055331C"/>
    <w:rsid w:val="00554316"/>
    <w:rsid w:val="00557138"/>
    <w:rsid w:val="0055757A"/>
    <w:rsid w:val="00557800"/>
    <w:rsid w:val="00557C1B"/>
    <w:rsid w:val="00562DE7"/>
    <w:rsid w:val="00570302"/>
    <w:rsid w:val="005728B5"/>
    <w:rsid w:val="00572F43"/>
    <w:rsid w:val="0057558B"/>
    <w:rsid w:val="00575CCC"/>
    <w:rsid w:val="00576BD2"/>
    <w:rsid w:val="00581220"/>
    <w:rsid w:val="00581757"/>
    <w:rsid w:val="00581835"/>
    <w:rsid w:val="00581D9F"/>
    <w:rsid w:val="00582BD8"/>
    <w:rsid w:val="00583D45"/>
    <w:rsid w:val="00584005"/>
    <w:rsid w:val="00586633"/>
    <w:rsid w:val="00587AE9"/>
    <w:rsid w:val="005970B9"/>
    <w:rsid w:val="005A0881"/>
    <w:rsid w:val="005A3F12"/>
    <w:rsid w:val="005A6861"/>
    <w:rsid w:val="005A7E3F"/>
    <w:rsid w:val="005B11F0"/>
    <w:rsid w:val="005B20CD"/>
    <w:rsid w:val="005B26CD"/>
    <w:rsid w:val="005B41A1"/>
    <w:rsid w:val="005B733C"/>
    <w:rsid w:val="005C46AB"/>
    <w:rsid w:val="005C7BB7"/>
    <w:rsid w:val="005D23CC"/>
    <w:rsid w:val="005D4C95"/>
    <w:rsid w:val="005D5902"/>
    <w:rsid w:val="005D5973"/>
    <w:rsid w:val="005E16B6"/>
    <w:rsid w:val="005E2B31"/>
    <w:rsid w:val="005E2BF5"/>
    <w:rsid w:val="005E2E40"/>
    <w:rsid w:val="005E3445"/>
    <w:rsid w:val="005E4668"/>
    <w:rsid w:val="005E5598"/>
    <w:rsid w:val="005F03CE"/>
    <w:rsid w:val="005F0ECC"/>
    <w:rsid w:val="005F26A3"/>
    <w:rsid w:val="005F56FB"/>
    <w:rsid w:val="006011C5"/>
    <w:rsid w:val="00601A35"/>
    <w:rsid w:val="00601BD8"/>
    <w:rsid w:val="00602BF3"/>
    <w:rsid w:val="00603ED3"/>
    <w:rsid w:val="0061000D"/>
    <w:rsid w:val="00612775"/>
    <w:rsid w:val="00613427"/>
    <w:rsid w:val="0061452A"/>
    <w:rsid w:val="006172F1"/>
    <w:rsid w:val="0062187F"/>
    <w:rsid w:val="006226C8"/>
    <w:rsid w:val="0062324F"/>
    <w:rsid w:val="00624789"/>
    <w:rsid w:val="00624E6F"/>
    <w:rsid w:val="006274EB"/>
    <w:rsid w:val="00630534"/>
    <w:rsid w:val="00630D81"/>
    <w:rsid w:val="00631BD9"/>
    <w:rsid w:val="00632B18"/>
    <w:rsid w:val="00632B8E"/>
    <w:rsid w:val="00634CDA"/>
    <w:rsid w:val="00634DAE"/>
    <w:rsid w:val="00634EE1"/>
    <w:rsid w:val="00635799"/>
    <w:rsid w:val="006371C6"/>
    <w:rsid w:val="00637A2C"/>
    <w:rsid w:val="00642A42"/>
    <w:rsid w:val="00642B81"/>
    <w:rsid w:val="00644D09"/>
    <w:rsid w:val="00645490"/>
    <w:rsid w:val="00650765"/>
    <w:rsid w:val="006556B2"/>
    <w:rsid w:val="00656DDE"/>
    <w:rsid w:val="006573F8"/>
    <w:rsid w:val="00664428"/>
    <w:rsid w:val="006655FE"/>
    <w:rsid w:val="00671582"/>
    <w:rsid w:val="006718F3"/>
    <w:rsid w:val="0067204F"/>
    <w:rsid w:val="0067780E"/>
    <w:rsid w:val="00680314"/>
    <w:rsid w:val="00684505"/>
    <w:rsid w:val="00685078"/>
    <w:rsid w:val="00685EBA"/>
    <w:rsid w:val="006920C9"/>
    <w:rsid w:val="00693575"/>
    <w:rsid w:val="00694D1A"/>
    <w:rsid w:val="00695055"/>
    <w:rsid w:val="00695CCD"/>
    <w:rsid w:val="006966CB"/>
    <w:rsid w:val="00696B32"/>
    <w:rsid w:val="006A1D4A"/>
    <w:rsid w:val="006A4031"/>
    <w:rsid w:val="006A59ED"/>
    <w:rsid w:val="006A7F24"/>
    <w:rsid w:val="006B265F"/>
    <w:rsid w:val="006B4012"/>
    <w:rsid w:val="006B4D1C"/>
    <w:rsid w:val="006B51EF"/>
    <w:rsid w:val="006B522C"/>
    <w:rsid w:val="006B5E34"/>
    <w:rsid w:val="006C34B0"/>
    <w:rsid w:val="006C36C4"/>
    <w:rsid w:val="006C37D8"/>
    <w:rsid w:val="006C529D"/>
    <w:rsid w:val="006D0B02"/>
    <w:rsid w:val="006D137E"/>
    <w:rsid w:val="006D14CA"/>
    <w:rsid w:val="006D2722"/>
    <w:rsid w:val="006D49D3"/>
    <w:rsid w:val="006D6DFD"/>
    <w:rsid w:val="006E04F6"/>
    <w:rsid w:val="006E2706"/>
    <w:rsid w:val="006E7783"/>
    <w:rsid w:val="006F099C"/>
    <w:rsid w:val="006F3CB2"/>
    <w:rsid w:val="006F53DB"/>
    <w:rsid w:val="006F6B95"/>
    <w:rsid w:val="0070096F"/>
    <w:rsid w:val="00702404"/>
    <w:rsid w:val="00712C0A"/>
    <w:rsid w:val="0071316A"/>
    <w:rsid w:val="00713DCE"/>
    <w:rsid w:val="007221FF"/>
    <w:rsid w:val="00722BE7"/>
    <w:rsid w:val="007253A4"/>
    <w:rsid w:val="0073233B"/>
    <w:rsid w:val="0073305A"/>
    <w:rsid w:val="0073366D"/>
    <w:rsid w:val="007351D0"/>
    <w:rsid w:val="00737085"/>
    <w:rsid w:val="007406E8"/>
    <w:rsid w:val="007432CF"/>
    <w:rsid w:val="00743A8A"/>
    <w:rsid w:val="007446A2"/>
    <w:rsid w:val="00745B18"/>
    <w:rsid w:val="00746719"/>
    <w:rsid w:val="00751206"/>
    <w:rsid w:val="00752895"/>
    <w:rsid w:val="00752940"/>
    <w:rsid w:val="00752E23"/>
    <w:rsid w:val="007530EB"/>
    <w:rsid w:val="00755806"/>
    <w:rsid w:val="0075626B"/>
    <w:rsid w:val="00757639"/>
    <w:rsid w:val="007603C1"/>
    <w:rsid w:val="00762386"/>
    <w:rsid w:val="007634BB"/>
    <w:rsid w:val="00764F20"/>
    <w:rsid w:val="007709F7"/>
    <w:rsid w:val="00771890"/>
    <w:rsid w:val="00772A6E"/>
    <w:rsid w:val="00772A7E"/>
    <w:rsid w:val="007746EE"/>
    <w:rsid w:val="0077701A"/>
    <w:rsid w:val="00777E2B"/>
    <w:rsid w:val="0078230E"/>
    <w:rsid w:val="00785DFA"/>
    <w:rsid w:val="00786D01"/>
    <w:rsid w:val="00792648"/>
    <w:rsid w:val="0079321C"/>
    <w:rsid w:val="00796D4E"/>
    <w:rsid w:val="007971D8"/>
    <w:rsid w:val="007A03F5"/>
    <w:rsid w:val="007A0EE1"/>
    <w:rsid w:val="007A1A65"/>
    <w:rsid w:val="007A3878"/>
    <w:rsid w:val="007A4FD6"/>
    <w:rsid w:val="007A602B"/>
    <w:rsid w:val="007B0932"/>
    <w:rsid w:val="007B3455"/>
    <w:rsid w:val="007B3F7F"/>
    <w:rsid w:val="007B421F"/>
    <w:rsid w:val="007B5A1D"/>
    <w:rsid w:val="007B6DD4"/>
    <w:rsid w:val="007B713F"/>
    <w:rsid w:val="007B79E6"/>
    <w:rsid w:val="007C04DA"/>
    <w:rsid w:val="007C0E20"/>
    <w:rsid w:val="007C6B9B"/>
    <w:rsid w:val="007C6ECD"/>
    <w:rsid w:val="007C7727"/>
    <w:rsid w:val="007C7F54"/>
    <w:rsid w:val="007D5EC8"/>
    <w:rsid w:val="007E2996"/>
    <w:rsid w:val="007E2F64"/>
    <w:rsid w:val="007E4425"/>
    <w:rsid w:val="007E4FF2"/>
    <w:rsid w:val="007E7A91"/>
    <w:rsid w:val="007F030E"/>
    <w:rsid w:val="007F0E8F"/>
    <w:rsid w:val="007F15DB"/>
    <w:rsid w:val="007F1DD5"/>
    <w:rsid w:val="007F506B"/>
    <w:rsid w:val="007F5912"/>
    <w:rsid w:val="007F6740"/>
    <w:rsid w:val="00800491"/>
    <w:rsid w:val="00801422"/>
    <w:rsid w:val="00803ABA"/>
    <w:rsid w:val="00803C47"/>
    <w:rsid w:val="00804608"/>
    <w:rsid w:val="00805C5A"/>
    <w:rsid w:val="008069AB"/>
    <w:rsid w:val="008104CD"/>
    <w:rsid w:val="00810B30"/>
    <w:rsid w:val="00811F22"/>
    <w:rsid w:val="00812719"/>
    <w:rsid w:val="00813853"/>
    <w:rsid w:val="00813D7F"/>
    <w:rsid w:val="00821821"/>
    <w:rsid w:val="00822602"/>
    <w:rsid w:val="00822DFC"/>
    <w:rsid w:val="00823643"/>
    <w:rsid w:val="00824333"/>
    <w:rsid w:val="00824A39"/>
    <w:rsid w:val="00827F77"/>
    <w:rsid w:val="0083065C"/>
    <w:rsid w:val="00833DBE"/>
    <w:rsid w:val="0083625D"/>
    <w:rsid w:val="008435E4"/>
    <w:rsid w:val="0084387D"/>
    <w:rsid w:val="00843D48"/>
    <w:rsid w:val="008450CF"/>
    <w:rsid w:val="00846524"/>
    <w:rsid w:val="00847436"/>
    <w:rsid w:val="00851116"/>
    <w:rsid w:val="00853B88"/>
    <w:rsid w:val="0085459A"/>
    <w:rsid w:val="008558F0"/>
    <w:rsid w:val="008608FF"/>
    <w:rsid w:val="00863A48"/>
    <w:rsid w:val="00865645"/>
    <w:rsid w:val="008701F4"/>
    <w:rsid w:val="00870483"/>
    <w:rsid w:val="00872F97"/>
    <w:rsid w:val="008732D3"/>
    <w:rsid w:val="008759DA"/>
    <w:rsid w:val="00876D33"/>
    <w:rsid w:val="00880CDA"/>
    <w:rsid w:val="00881D7D"/>
    <w:rsid w:val="00882A59"/>
    <w:rsid w:val="00884608"/>
    <w:rsid w:val="00884B32"/>
    <w:rsid w:val="008906C9"/>
    <w:rsid w:val="00894CCC"/>
    <w:rsid w:val="008954D5"/>
    <w:rsid w:val="00895DB3"/>
    <w:rsid w:val="008A08AB"/>
    <w:rsid w:val="008A57D3"/>
    <w:rsid w:val="008A6C48"/>
    <w:rsid w:val="008A7DE6"/>
    <w:rsid w:val="008B0C7B"/>
    <w:rsid w:val="008B1087"/>
    <w:rsid w:val="008B1C46"/>
    <w:rsid w:val="008B4CF9"/>
    <w:rsid w:val="008B6020"/>
    <w:rsid w:val="008C06AC"/>
    <w:rsid w:val="008C091D"/>
    <w:rsid w:val="008C3F13"/>
    <w:rsid w:val="008C6319"/>
    <w:rsid w:val="008D187E"/>
    <w:rsid w:val="008D24F8"/>
    <w:rsid w:val="008D3EC2"/>
    <w:rsid w:val="008D6E77"/>
    <w:rsid w:val="008D7360"/>
    <w:rsid w:val="008D7437"/>
    <w:rsid w:val="008E0B76"/>
    <w:rsid w:val="008E0E48"/>
    <w:rsid w:val="008E2B80"/>
    <w:rsid w:val="008E33C0"/>
    <w:rsid w:val="008E351E"/>
    <w:rsid w:val="008E7649"/>
    <w:rsid w:val="008F0B01"/>
    <w:rsid w:val="008F1711"/>
    <w:rsid w:val="008F58F3"/>
    <w:rsid w:val="008F5B18"/>
    <w:rsid w:val="008F7808"/>
    <w:rsid w:val="00900781"/>
    <w:rsid w:val="0090794E"/>
    <w:rsid w:val="00910AE9"/>
    <w:rsid w:val="00912953"/>
    <w:rsid w:val="00912D08"/>
    <w:rsid w:val="00913B8E"/>
    <w:rsid w:val="009159A8"/>
    <w:rsid w:val="009212E8"/>
    <w:rsid w:val="00922726"/>
    <w:rsid w:val="0092471A"/>
    <w:rsid w:val="00930520"/>
    <w:rsid w:val="00931304"/>
    <w:rsid w:val="009333D0"/>
    <w:rsid w:val="009337CA"/>
    <w:rsid w:val="00936A9E"/>
    <w:rsid w:val="00936F30"/>
    <w:rsid w:val="00947292"/>
    <w:rsid w:val="009515C4"/>
    <w:rsid w:val="009542BB"/>
    <w:rsid w:val="00954F8D"/>
    <w:rsid w:val="00956EA3"/>
    <w:rsid w:val="00956F72"/>
    <w:rsid w:val="0096088A"/>
    <w:rsid w:val="0096268B"/>
    <w:rsid w:val="00962BA6"/>
    <w:rsid w:val="00964E40"/>
    <w:rsid w:val="00967CA0"/>
    <w:rsid w:val="00971FAF"/>
    <w:rsid w:val="00972AA5"/>
    <w:rsid w:val="0097372A"/>
    <w:rsid w:val="0097418C"/>
    <w:rsid w:val="009742C8"/>
    <w:rsid w:val="00975192"/>
    <w:rsid w:val="00976195"/>
    <w:rsid w:val="009765C6"/>
    <w:rsid w:val="00976A09"/>
    <w:rsid w:val="00976A0A"/>
    <w:rsid w:val="00980F46"/>
    <w:rsid w:val="009826EF"/>
    <w:rsid w:val="009843AE"/>
    <w:rsid w:val="00984E62"/>
    <w:rsid w:val="0098727E"/>
    <w:rsid w:val="009872F6"/>
    <w:rsid w:val="00987892"/>
    <w:rsid w:val="00990958"/>
    <w:rsid w:val="0099260D"/>
    <w:rsid w:val="0099326A"/>
    <w:rsid w:val="00993B58"/>
    <w:rsid w:val="00995662"/>
    <w:rsid w:val="00995C91"/>
    <w:rsid w:val="009964E9"/>
    <w:rsid w:val="009A2294"/>
    <w:rsid w:val="009A2BCA"/>
    <w:rsid w:val="009A35FB"/>
    <w:rsid w:val="009A3637"/>
    <w:rsid w:val="009A5F27"/>
    <w:rsid w:val="009B1924"/>
    <w:rsid w:val="009B1F5D"/>
    <w:rsid w:val="009B23B0"/>
    <w:rsid w:val="009B3115"/>
    <w:rsid w:val="009B5648"/>
    <w:rsid w:val="009B7FA3"/>
    <w:rsid w:val="009C0271"/>
    <w:rsid w:val="009C0712"/>
    <w:rsid w:val="009C07BD"/>
    <w:rsid w:val="009C4E21"/>
    <w:rsid w:val="009C5295"/>
    <w:rsid w:val="009C57E3"/>
    <w:rsid w:val="009D14DE"/>
    <w:rsid w:val="009D160C"/>
    <w:rsid w:val="009D472D"/>
    <w:rsid w:val="009D4E39"/>
    <w:rsid w:val="009E0368"/>
    <w:rsid w:val="009E2293"/>
    <w:rsid w:val="009E64D3"/>
    <w:rsid w:val="009E6710"/>
    <w:rsid w:val="009F3140"/>
    <w:rsid w:val="009F4128"/>
    <w:rsid w:val="009F76DB"/>
    <w:rsid w:val="00A012EB"/>
    <w:rsid w:val="00A01D3E"/>
    <w:rsid w:val="00A03270"/>
    <w:rsid w:val="00A03FF8"/>
    <w:rsid w:val="00A048CD"/>
    <w:rsid w:val="00A04A33"/>
    <w:rsid w:val="00A04F89"/>
    <w:rsid w:val="00A04F9F"/>
    <w:rsid w:val="00A05489"/>
    <w:rsid w:val="00A05575"/>
    <w:rsid w:val="00A06D10"/>
    <w:rsid w:val="00A11316"/>
    <w:rsid w:val="00A1285E"/>
    <w:rsid w:val="00A1381E"/>
    <w:rsid w:val="00A15389"/>
    <w:rsid w:val="00A20042"/>
    <w:rsid w:val="00A201F3"/>
    <w:rsid w:val="00A20670"/>
    <w:rsid w:val="00A23FA5"/>
    <w:rsid w:val="00A24C4E"/>
    <w:rsid w:val="00A2620C"/>
    <w:rsid w:val="00A26D28"/>
    <w:rsid w:val="00A27829"/>
    <w:rsid w:val="00A303C4"/>
    <w:rsid w:val="00A34444"/>
    <w:rsid w:val="00A360DE"/>
    <w:rsid w:val="00A36D63"/>
    <w:rsid w:val="00A40FA8"/>
    <w:rsid w:val="00A418DC"/>
    <w:rsid w:val="00A41D23"/>
    <w:rsid w:val="00A42640"/>
    <w:rsid w:val="00A43325"/>
    <w:rsid w:val="00A43687"/>
    <w:rsid w:val="00A44DAE"/>
    <w:rsid w:val="00A459D3"/>
    <w:rsid w:val="00A45C7B"/>
    <w:rsid w:val="00A460EF"/>
    <w:rsid w:val="00A50056"/>
    <w:rsid w:val="00A50973"/>
    <w:rsid w:val="00A50E56"/>
    <w:rsid w:val="00A52011"/>
    <w:rsid w:val="00A533B8"/>
    <w:rsid w:val="00A54662"/>
    <w:rsid w:val="00A547E6"/>
    <w:rsid w:val="00A553C7"/>
    <w:rsid w:val="00A55805"/>
    <w:rsid w:val="00A55A9C"/>
    <w:rsid w:val="00A56D0B"/>
    <w:rsid w:val="00A60006"/>
    <w:rsid w:val="00A60EC3"/>
    <w:rsid w:val="00A62464"/>
    <w:rsid w:val="00A6359D"/>
    <w:rsid w:val="00A6445C"/>
    <w:rsid w:val="00A653CA"/>
    <w:rsid w:val="00A704F4"/>
    <w:rsid w:val="00A705F0"/>
    <w:rsid w:val="00A71728"/>
    <w:rsid w:val="00A71A58"/>
    <w:rsid w:val="00A72531"/>
    <w:rsid w:val="00A771B6"/>
    <w:rsid w:val="00A77962"/>
    <w:rsid w:val="00A80064"/>
    <w:rsid w:val="00A807A6"/>
    <w:rsid w:val="00A829EE"/>
    <w:rsid w:val="00A82BD0"/>
    <w:rsid w:val="00A84587"/>
    <w:rsid w:val="00A84771"/>
    <w:rsid w:val="00A866F7"/>
    <w:rsid w:val="00A8676D"/>
    <w:rsid w:val="00A868D1"/>
    <w:rsid w:val="00A8712B"/>
    <w:rsid w:val="00A90425"/>
    <w:rsid w:val="00A90A13"/>
    <w:rsid w:val="00A95464"/>
    <w:rsid w:val="00A969D4"/>
    <w:rsid w:val="00A97BD4"/>
    <w:rsid w:val="00AA0640"/>
    <w:rsid w:val="00AA24C4"/>
    <w:rsid w:val="00AA2910"/>
    <w:rsid w:val="00AA2D89"/>
    <w:rsid w:val="00AA56DB"/>
    <w:rsid w:val="00AA666A"/>
    <w:rsid w:val="00AA6DF2"/>
    <w:rsid w:val="00AB12E9"/>
    <w:rsid w:val="00AB15E4"/>
    <w:rsid w:val="00AB5AD8"/>
    <w:rsid w:val="00AB7B44"/>
    <w:rsid w:val="00AC1B40"/>
    <w:rsid w:val="00AC3929"/>
    <w:rsid w:val="00AC3E9B"/>
    <w:rsid w:val="00AD06B4"/>
    <w:rsid w:val="00AD18B2"/>
    <w:rsid w:val="00AD27A5"/>
    <w:rsid w:val="00AD46B7"/>
    <w:rsid w:val="00AD4969"/>
    <w:rsid w:val="00AD688C"/>
    <w:rsid w:val="00AD739E"/>
    <w:rsid w:val="00AD76A1"/>
    <w:rsid w:val="00AE276A"/>
    <w:rsid w:val="00AE3D1A"/>
    <w:rsid w:val="00AE5D1A"/>
    <w:rsid w:val="00B00327"/>
    <w:rsid w:val="00B03205"/>
    <w:rsid w:val="00B05480"/>
    <w:rsid w:val="00B0694D"/>
    <w:rsid w:val="00B14203"/>
    <w:rsid w:val="00B17225"/>
    <w:rsid w:val="00B20D16"/>
    <w:rsid w:val="00B21B31"/>
    <w:rsid w:val="00B21C0B"/>
    <w:rsid w:val="00B232B4"/>
    <w:rsid w:val="00B2373D"/>
    <w:rsid w:val="00B23A42"/>
    <w:rsid w:val="00B248A9"/>
    <w:rsid w:val="00B251DF"/>
    <w:rsid w:val="00B264F3"/>
    <w:rsid w:val="00B26CF4"/>
    <w:rsid w:val="00B2768D"/>
    <w:rsid w:val="00B27732"/>
    <w:rsid w:val="00B30C5C"/>
    <w:rsid w:val="00B3165C"/>
    <w:rsid w:val="00B31674"/>
    <w:rsid w:val="00B37D6C"/>
    <w:rsid w:val="00B4259D"/>
    <w:rsid w:val="00B42834"/>
    <w:rsid w:val="00B42D6C"/>
    <w:rsid w:val="00B43278"/>
    <w:rsid w:val="00B44CC8"/>
    <w:rsid w:val="00B470C4"/>
    <w:rsid w:val="00B51A66"/>
    <w:rsid w:val="00B51B11"/>
    <w:rsid w:val="00B52A5A"/>
    <w:rsid w:val="00B5350D"/>
    <w:rsid w:val="00B53C55"/>
    <w:rsid w:val="00B5646E"/>
    <w:rsid w:val="00B56656"/>
    <w:rsid w:val="00B56DD0"/>
    <w:rsid w:val="00B5700D"/>
    <w:rsid w:val="00B60B04"/>
    <w:rsid w:val="00B62EEA"/>
    <w:rsid w:val="00B63122"/>
    <w:rsid w:val="00B63BD7"/>
    <w:rsid w:val="00B65293"/>
    <w:rsid w:val="00B67784"/>
    <w:rsid w:val="00B800CA"/>
    <w:rsid w:val="00B810C9"/>
    <w:rsid w:val="00B819B8"/>
    <w:rsid w:val="00B836C1"/>
    <w:rsid w:val="00B8575F"/>
    <w:rsid w:val="00B9158C"/>
    <w:rsid w:val="00B93426"/>
    <w:rsid w:val="00B93E09"/>
    <w:rsid w:val="00B94F5F"/>
    <w:rsid w:val="00B95BC4"/>
    <w:rsid w:val="00B9644D"/>
    <w:rsid w:val="00BA2997"/>
    <w:rsid w:val="00BA36DB"/>
    <w:rsid w:val="00BA4FED"/>
    <w:rsid w:val="00BB37FA"/>
    <w:rsid w:val="00BB4A23"/>
    <w:rsid w:val="00BB4D2E"/>
    <w:rsid w:val="00BB5C93"/>
    <w:rsid w:val="00BB622B"/>
    <w:rsid w:val="00BB777A"/>
    <w:rsid w:val="00BB7D05"/>
    <w:rsid w:val="00BB7FDB"/>
    <w:rsid w:val="00BC2614"/>
    <w:rsid w:val="00BC31DF"/>
    <w:rsid w:val="00BC400F"/>
    <w:rsid w:val="00BC44E5"/>
    <w:rsid w:val="00BC4632"/>
    <w:rsid w:val="00BC7E56"/>
    <w:rsid w:val="00BD14D3"/>
    <w:rsid w:val="00BD3424"/>
    <w:rsid w:val="00BD4709"/>
    <w:rsid w:val="00BD6211"/>
    <w:rsid w:val="00BE0350"/>
    <w:rsid w:val="00BE1439"/>
    <w:rsid w:val="00BE22FD"/>
    <w:rsid w:val="00BE2C68"/>
    <w:rsid w:val="00BE49A9"/>
    <w:rsid w:val="00BE6C61"/>
    <w:rsid w:val="00BF0994"/>
    <w:rsid w:val="00BF19B1"/>
    <w:rsid w:val="00BF23F5"/>
    <w:rsid w:val="00BF4C98"/>
    <w:rsid w:val="00BF648A"/>
    <w:rsid w:val="00C00668"/>
    <w:rsid w:val="00C028A4"/>
    <w:rsid w:val="00C02ECA"/>
    <w:rsid w:val="00C02FB9"/>
    <w:rsid w:val="00C051BB"/>
    <w:rsid w:val="00C05319"/>
    <w:rsid w:val="00C05436"/>
    <w:rsid w:val="00C10E1F"/>
    <w:rsid w:val="00C150A0"/>
    <w:rsid w:val="00C15A25"/>
    <w:rsid w:val="00C16950"/>
    <w:rsid w:val="00C17012"/>
    <w:rsid w:val="00C17E45"/>
    <w:rsid w:val="00C201BC"/>
    <w:rsid w:val="00C258FF"/>
    <w:rsid w:val="00C304FB"/>
    <w:rsid w:val="00C36E01"/>
    <w:rsid w:val="00C41B25"/>
    <w:rsid w:val="00C42ED0"/>
    <w:rsid w:val="00C4506D"/>
    <w:rsid w:val="00C46C02"/>
    <w:rsid w:val="00C46E1B"/>
    <w:rsid w:val="00C47BAA"/>
    <w:rsid w:val="00C47CC6"/>
    <w:rsid w:val="00C47D62"/>
    <w:rsid w:val="00C508DA"/>
    <w:rsid w:val="00C519C7"/>
    <w:rsid w:val="00C53638"/>
    <w:rsid w:val="00C54926"/>
    <w:rsid w:val="00C553A0"/>
    <w:rsid w:val="00C6081D"/>
    <w:rsid w:val="00C6150E"/>
    <w:rsid w:val="00C62CFB"/>
    <w:rsid w:val="00C62E8A"/>
    <w:rsid w:val="00C63204"/>
    <w:rsid w:val="00C6321B"/>
    <w:rsid w:val="00C636A3"/>
    <w:rsid w:val="00C63B57"/>
    <w:rsid w:val="00C641C0"/>
    <w:rsid w:val="00C64BC7"/>
    <w:rsid w:val="00C65AB2"/>
    <w:rsid w:val="00C6659C"/>
    <w:rsid w:val="00C66A8C"/>
    <w:rsid w:val="00C67315"/>
    <w:rsid w:val="00C70208"/>
    <w:rsid w:val="00C71812"/>
    <w:rsid w:val="00C7272F"/>
    <w:rsid w:val="00C73457"/>
    <w:rsid w:val="00C73C89"/>
    <w:rsid w:val="00C76B63"/>
    <w:rsid w:val="00C77733"/>
    <w:rsid w:val="00C810B4"/>
    <w:rsid w:val="00C83A94"/>
    <w:rsid w:val="00C84412"/>
    <w:rsid w:val="00C8465D"/>
    <w:rsid w:val="00C911B7"/>
    <w:rsid w:val="00C94A2B"/>
    <w:rsid w:val="00CA56DB"/>
    <w:rsid w:val="00CB39C5"/>
    <w:rsid w:val="00CB4F87"/>
    <w:rsid w:val="00CB6804"/>
    <w:rsid w:val="00CC1241"/>
    <w:rsid w:val="00CC164A"/>
    <w:rsid w:val="00CC1AB0"/>
    <w:rsid w:val="00CC3053"/>
    <w:rsid w:val="00CC457E"/>
    <w:rsid w:val="00CC4989"/>
    <w:rsid w:val="00CC4D24"/>
    <w:rsid w:val="00CC50D0"/>
    <w:rsid w:val="00CC6C03"/>
    <w:rsid w:val="00CD0F23"/>
    <w:rsid w:val="00CD1832"/>
    <w:rsid w:val="00CD5297"/>
    <w:rsid w:val="00CD54D3"/>
    <w:rsid w:val="00CD623C"/>
    <w:rsid w:val="00CD686F"/>
    <w:rsid w:val="00CD6DC3"/>
    <w:rsid w:val="00CD776C"/>
    <w:rsid w:val="00CD7BDC"/>
    <w:rsid w:val="00CE2D50"/>
    <w:rsid w:val="00CE302C"/>
    <w:rsid w:val="00CE45CF"/>
    <w:rsid w:val="00CE49AD"/>
    <w:rsid w:val="00CE4A2E"/>
    <w:rsid w:val="00CE55C4"/>
    <w:rsid w:val="00CE665D"/>
    <w:rsid w:val="00CE6860"/>
    <w:rsid w:val="00CE6DF4"/>
    <w:rsid w:val="00CF15C9"/>
    <w:rsid w:val="00CF1CC1"/>
    <w:rsid w:val="00CF3122"/>
    <w:rsid w:val="00CF3D91"/>
    <w:rsid w:val="00CF3EEC"/>
    <w:rsid w:val="00CF72E3"/>
    <w:rsid w:val="00D0251E"/>
    <w:rsid w:val="00D026EA"/>
    <w:rsid w:val="00D02D3E"/>
    <w:rsid w:val="00D031D8"/>
    <w:rsid w:val="00D052B6"/>
    <w:rsid w:val="00D058D6"/>
    <w:rsid w:val="00D060CA"/>
    <w:rsid w:val="00D10821"/>
    <w:rsid w:val="00D10942"/>
    <w:rsid w:val="00D11DD1"/>
    <w:rsid w:val="00D13BF1"/>
    <w:rsid w:val="00D13DC7"/>
    <w:rsid w:val="00D1450E"/>
    <w:rsid w:val="00D1697C"/>
    <w:rsid w:val="00D16F0E"/>
    <w:rsid w:val="00D17A29"/>
    <w:rsid w:val="00D17BFE"/>
    <w:rsid w:val="00D21D15"/>
    <w:rsid w:val="00D22E4A"/>
    <w:rsid w:val="00D23ACD"/>
    <w:rsid w:val="00D23BAF"/>
    <w:rsid w:val="00D27897"/>
    <w:rsid w:val="00D27C2A"/>
    <w:rsid w:val="00D32FD8"/>
    <w:rsid w:val="00D3671F"/>
    <w:rsid w:val="00D40397"/>
    <w:rsid w:val="00D4194D"/>
    <w:rsid w:val="00D4323B"/>
    <w:rsid w:val="00D45D1A"/>
    <w:rsid w:val="00D46F8A"/>
    <w:rsid w:val="00D4787B"/>
    <w:rsid w:val="00D47CE1"/>
    <w:rsid w:val="00D51907"/>
    <w:rsid w:val="00D527D9"/>
    <w:rsid w:val="00D57B25"/>
    <w:rsid w:val="00D61A4A"/>
    <w:rsid w:val="00D626FC"/>
    <w:rsid w:val="00D67211"/>
    <w:rsid w:val="00D6760C"/>
    <w:rsid w:val="00D67ACC"/>
    <w:rsid w:val="00D7110B"/>
    <w:rsid w:val="00D73D1D"/>
    <w:rsid w:val="00D742BB"/>
    <w:rsid w:val="00D7488B"/>
    <w:rsid w:val="00D74C0B"/>
    <w:rsid w:val="00D82CB7"/>
    <w:rsid w:val="00D837E8"/>
    <w:rsid w:val="00D83D4C"/>
    <w:rsid w:val="00D86115"/>
    <w:rsid w:val="00D87139"/>
    <w:rsid w:val="00D91DA9"/>
    <w:rsid w:val="00D92A89"/>
    <w:rsid w:val="00D92CA6"/>
    <w:rsid w:val="00D94F20"/>
    <w:rsid w:val="00DA01B4"/>
    <w:rsid w:val="00DA30B8"/>
    <w:rsid w:val="00DA4685"/>
    <w:rsid w:val="00DA57CC"/>
    <w:rsid w:val="00DA5F19"/>
    <w:rsid w:val="00DA781D"/>
    <w:rsid w:val="00DB181D"/>
    <w:rsid w:val="00DB1D41"/>
    <w:rsid w:val="00DB3CAD"/>
    <w:rsid w:val="00DB5BD6"/>
    <w:rsid w:val="00DB6883"/>
    <w:rsid w:val="00DC665F"/>
    <w:rsid w:val="00DD231D"/>
    <w:rsid w:val="00DD24EE"/>
    <w:rsid w:val="00DE1C6F"/>
    <w:rsid w:val="00DE20D4"/>
    <w:rsid w:val="00DE2EED"/>
    <w:rsid w:val="00DE6DA6"/>
    <w:rsid w:val="00DE7478"/>
    <w:rsid w:val="00DF035B"/>
    <w:rsid w:val="00DF04EF"/>
    <w:rsid w:val="00DF0CEC"/>
    <w:rsid w:val="00DF1E4C"/>
    <w:rsid w:val="00DF22A7"/>
    <w:rsid w:val="00DF62C4"/>
    <w:rsid w:val="00DF6516"/>
    <w:rsid w:val="00E01041"/>
    <w:rsid w:val="00E01E02"/>
    <w:rsid w:val="00E115B9"/>
    <w:rsid w:val="00E139B8"/>
    <w:rsid w:val="00E15342"/>
    <w:rsid w:val="00E159B9"/>
    <w:rsid w:val="00E17785"/>
    <w:rsid w:val="00E2227E"/>
    <w:rsid w:val="00E22DCB"/>
    <w:rsid w:val="00E24B39"/>
    <w:rsid w:val="00E25AAF"/>
    <w:rsid w:val="00E26293"/>
    <w:rsid w:val="00E336C2"/>
    <w:rsid w:val="00E360BD"/>
    <w:rsid w:val="00E422A5"/>
    <w:rsid w:val="00E44B18"/>
    <w:rsid w:val="00E44CBA"/>
    <w:rsid w:val="00E45860"/>
    <w:rsid w:val="00E50CEF"/>
    <w:rsid w:val="00E51EB7"/>
    <w:rsid w:val="00E526B1"/>
    <w:rsid w:val="00E53344"/>
    <w:rsid w:val="00E5363B"/>
    <w:rsid w:val="00E549F1"/>
    <w:rsid w:val="00E54E2F"/>
    <w:rsid w:val="00E55105"/>
    <w:rsid w:val="00E569F8"/>
    <w:rsid w:val="00E6064D"/>
    <w:rsid w:val="00E608A1"/>
    <w:rsid w:val="00E610E8"/>
    <w:rsid w:val="00E63A1A"/>
    <w:rsid w:val="00E673E3"/>
    <w:rsid w:val="00E704F1"/>
    <w:rsid w:val="00E82316"/>
    <w:rsid w:val="00E831F6"/>
    <w:rsid w:val="00E845D9"/>
    <w:rsid w:val="00E86932"/>
    <w:rsid w:val="00E87245"/>
    <w:rsid w:val="00E90F0B"/>
    <w:rsid w:val="00E913CE"/>
    <w:rsid w:val="00E91F27"/>
    <w:rsid w:val="00E9278D"/>
    <w:rsid w:val="00E93234"/>
    <w:rsid w:val="00E948A8"/>
    <w:rsid w:val="00E95BB7"/>
    <w:rsid w:val="00E95C53"/>
    <w:rsid w:val="00E9616D"/>
    <w:rsid w:val="00E969E7"/>
    <w:rsid w:val="00E970AB"/>
    <w:rsid w:val="00E97C56"/>
    <w:rsid w:val="00EA1755"/>
    <w:rsid w:val="00EA1C25"/>
    <w:rsid w:val="00EA3C96"/>
    <w:rsid w:val="00EA4E93"/>
    <w:rsid w:val="00EA737B"/>
    <w:rsid w:val="00EA75EC"/>
    <w:rsid w:val="00EB74C3"/>
    <w:rsid w:val="00EB7E22"/>
    <w:rsid w:val="00EC1421"/>
    <w:rsid w:val="00EC1529"/>
    <w:rsid w:val="00EC1711"/>
    <w:rsid w:val="00EC435F"/>
    <w:rsid w:val="00EC7BB1"/>
    <w:rsid w:val="00ED01A3"/>
    <w:rsid w:val="00ED113E"/>
    <w:rsid w:val="00ED1CAE"/>
    <w:rsid w:val="00ED2052"/>
    <w:rsid w:val="00ED5E20"/>
    <w:rsid w:val="00ED7816"/>
    <w:rsid w:val="00EE160E"/>
    <w:rsid w:val="00EE3C95"/>
    <w:rsid w:val="00EE3F0B"/>
    <w:rsid w:val="00EE5096"/>
    <w:rsid w:val="00EE6806"/>
    <w:rsid w:val="00EE7C2F"/>
    <w:rsid w:val="00EE7DD2"/>
    <w:rsid w:val="00EF1C0E"/>
    <w:rsid w:val="00EF20C2"/>
    <w:rsid w:val="00EF3B7D"/>
    <w:rsid w:val="00EF4608"/>
    <w:rsid w:val="00F011CC"/>
    <w:rsid w:val="00F01FA4"/>
    <w:rsid w:val="00F03682"/>
    <w:rsid w:val="00F078B1"/>
    <w:rsid w:val="00F113A1"/>
    <w:rsid w:val="00F20805"/>
    <w:rsid w:val="00F22D01"/>
    <w:rsid w:val="00F22F18"/>
    <w:rsid w:val="00F231A2"/>
    <w:rsid w:val="00F27D39"/>
    <w:rsid w:val="00F305D0"/>
    <w:rsid w:val="00F32248"/>
    <w:rsid w:val="00F34D42"/>
    <w:rsid w:val="00F354DC"/>
    <w:rsid w:val="00F4298B"/>
    <w:rsid w:val="00F42BB6"/>
    <w:rsid w:val="00F44FCF"/>
    <w:rsid w:val="00F4717B"/>
    <w:rsid w:val="00F4783E"/>
    <w:rsid w:val="00F51F2B"/>
    <w:rsid w:val="00F5383A"/>
    <w:rsid w:val="00F564F2"/>
    <w:rsid w:val="00F6188A"/>
    <w:rsid w:val="00F64B1A"/>
    <w:rsid w:val="00F65014"/>
    <w:rsid w:val="00F67063"/>
    <w:rsid w:val="00F670C0"/>
    <w:rsid w:val="00F67828"/>
    <w:rsid w:val="00F75CB4"/>
    <w:rsid w:val="00F7650A"/>
    <w:rsid w:val="00F77724"/>
    <w:rsid w:val="00F7797E"/>
    <w:rsid w:val="00F80AFF"/>
    <w:rsid w:val="00F817ED"/>
    <w:rsid w:val="00F82F0A"/>
    <w:rsid w:val="00F8394C"/>
    <w:rsid w:val="00F83C9E"/>
    <w:rsid w:val="00F83E37"/>
    <w:rsid w:val="00F83E9D"/>
    <w:rsid w:val="00F8658E"/>
    <w:rsid w:val="00F8672B"/>
    <w:rsid w:val="00F87448"/>
    <w:rsid w:val="00F919C0"/>
    <w:rsid w:val="00F92AC7"/>
    <w:rsid w:val="00F93497"/>
    <w:rsid w:val="00F940A8"/>
    <w:rsid w:val="00F95ADC"/>
    <w:rsid w:val="00F95E80"/>
    <w:rsid w:val="00F964B3"/>
    <w:rsid w:val="00FA2495"/>
    <w:rsid w:val="00FA3455"/>
    <w:rsid w:val="00FA4CA4"/>
    <w:rsid w:val="00FB16FA"/>
    <w:rsid w:val="00FB1FA6"/>
    <w:rsid w:val="00FB2523"/>
    <w:rsid w:val="00FB2DFD"/>
    <w:rsid w:val="00FB40EE"/>
    <w:rsid w:val="00FB44D1"/>
    <w:rsid w:val="00FB4986"/>
    <w:rsid w:val="00FB49DE"/>
    <w:rsid w:val="00FB7928"/>
    <w:rsid w:val="00FC08D0"/>
    <w:rsid w:val="00FC3EFA"/>
    <w:rsid w:val="00FC515B"/>
    <w:rsid w:val="00FD03DB"/>
    <w:rsid w:val="00FD0C52"/>
    <w:rsid w:val="00FD1679"/>
    <w:rsid w:val="00FD3C45"/>
    <w:rsid w:val="00FD6EA8"/>
    <w:rsid w:val="00FE1B98"/>
    <w:rsid w:val="00FE289F"/>
    <w:rsid w:val="00FE2F1D"/>
    <w:rsid w:val="00FE35BB"/>
    <w:rsid w:val="00FE3F64"/>
    <w:rsid w:val="00FE43A6"/>
    <w:rsid w:val="00FE571E"/>
    <w:rsid w:val="00FE6681"/>
    <w:rsid w:val="00FE727B"/>
    <w:rsid w:val="00FF3BD1"/>
    <w:rsid w:val="00FF5C6B"/>
    <w:rsid w:val="011B1E1F"/>
    <w:rsid w:val="01211AD4"/>
    <w:rsid w:val="01543C57"/>
    <w:rsid w:val="016A6FD7"/>
    <w:rsid w:val="017B7436"/>
    <w:rsid w:val="0194674A"/>
    <w:rsid w:val="01FE1324"/>
    <w:rsid w:val="02073223"/>
    <w:rsid w:val="023B3753"/>
    <w:rsid w:val="024159EA"/>
    <w:rsid w:val="02BC73A5"/>
    <w:rsid w:val="02E35293"/>
    <w:rsid w:val="02E42DB9"/>
    <w:rsid w:val="034A3564"/>
    <w:rsid w:val="036A0F9F"/>
    <w:rsid w:val="03914CEF"/>
    <w:rsid w:val="039447DF"/>
    <w:rsid w:val="03B44E81"/>
    <w:rsid w:val="04003C23"/>
    <w:rsid w:val="042958F0"/>
    <w:rsid w:val="043D4E77"/>
    <w:rsid w:val="04CC5353"/>
    <w:rsid w:val="04F75026"/>
    <w:rsid w:val="04FF212C"/>
    <w:rsid w:val="05685F23"/>
    <w:rsid w:val="05FB1817"/>
    <w:rsid w:val="06316315"/>
    <w:rsid w:val="069114AA"/>
    <w:rsid w:val="06A87464"/>
    <w:rsid w:val="06FA2BAB"/>
    <w:rsid w:val="070307D1"/>
    <w:rsid w:val="08031F33"/>
    <w:rsid w:val="085F360E"/>
    <w:rsid w:val="086A1FB2"/>
    <w:rsid w:val="0875619B"/>
    <w:rsid w:val="08762705"/>
    <w:rsid w:val="087D14FC"/>
    <w:rsid w:val="0891060D"/>
    <w:rsid w:val="08AF4D90"/>
    <w:rsid w:val="09021F47"/>
    <w:rsid w:val="090715AF"/>
    <w:rsid w:val="097368D5"/>
    <w:rsid w:val="09737DBE"/>
    <w:rsid w:val="09E24732"/>
    <w:rsid w:val="0A3C589E"/>
    <w:rsid w:val="0A616C27"/>
    <w:rsid w:val="0ACC485F"/>
    <w:rsid w:val="0B792A36"/>
    <w:rsid w:val="0B7A075E"/>
    <w:rsid w:val="0C162E2B"/>
    <w:rsid w:val="0C5B40EC"/>
    <w:rsid w:val="0C632FA1"/>
    <w:rsid w:val="0C8E3072"/>
    <w:rsid w:val="0CC55A09"/>
    <w:rsid w:val="0D336E17"/>
    <w:rsid w:val="0D3C4BF0"/>
    <w:rsid w:val="0D5F7C0C"/>
    <w:rsid w:val="0E8518F4"/>
    <w:rsid w:val="0F0C3DC3"/>
    <w:rsid w:val="0F313E90"/>
    <w:rsid w:val="0F924FA1"/>
    <w:rsid w:val="0FA43FFC"/>
    <w:rsid w:val="10294D09"/>
    <w:rsid w:val="105001ED"/>
    <w:rsid w:val="107759BB"/>
    <w:rsid w:val="10A87B1C"/>
    <w:rsid w:val="11407D54"/>
    <w:rsid w:val="1145517D"/>
    <w:rsid w:val="11482F58"/>
    <w:rsid w:val="118C4D48"/>
    <w:rsid w:val="11A976A8"/>
    <w:rsid w:val="11B5429E"/>
    <w:rsid w:val="11D44ABA"/>
    <w:rsid w:val="11FD6908"/>
    <w:rsid w:val="1208039C"/>
    <w:rsid w:val="121D1E44"/>
    <w:rsid w:val="12253371"/>
    <w:rsid w:val="124E5235"/>
    <w:rsid w:val="12623F17"/>
    <w:rsid w:val="132466A8"/>
    <w:rsid w:val="1379754E"/>
    <w:rsid w:val="1384314F"/>
    <w:rsid w:val="13AC7444"/>
    <w:rsid w:val="13C97278"/>
    <w:rsid w:val="13E4639C"/>
    <w:rsid w:val="142B6A0A"/>
    <w:rsid w:val="145D295C"/>
    <w:rsid w:val="14953AB6"/>
    <w:rsid w:val="14A62951"/>
    <w:rsid w:val="14E97CBF"/>
    <w:rsid w:val="151327D9"/>
    <w:rsid w:val="1537146E"/>
    <w:rsid w:val="15493939"/>
    <w:rsid w:val="15567B46"/>
    <w:rsid w:val="157306F8"/>
    <w:rsid w:val="157E2FE7"/>
    <w:rsid w:val="15C745A0"/>
    <w:rsid w:val="160F290E"/>
    <w:rsid w:val="16504596"/>
    <w:rsid w:val="16526560"/>
    <w:rsid w:val="16547BA6"/>
    <w:rsid w:val="16593019"/>
    <w:rsid w:val="1675683C"/>
    <w:rsid w:val="168D7598"/>
    <w:rsid w:val="16BE1E47"/>
    <w:rsid w:val="1791130A"/>
    <w:rsid w:val="17C90AA4"/>
    <w:rsid w:val="17DD6E2C"/>
    <w:rsid w:val="180B12CE"/>
    <w:rsid w:val="180C41F8"/>
    <w:rsid w:val="183F6A4F"/>
    <w:rsid w:val="184C6FDF"/>
    <w:rsid w:val="18665DD4"/>
    <w:rsid w:val="18B77B2D"/>
    <w:rsid w:val="18CB27D2"/>
    <w:rsid w:val="18E3111F"/>
    <w:rsid w:val="18E95820"/>
    <w:rsid w:val="18F953B8"/>
    <w:rsid w:val="19D07C52"/>
    <w:rsid w:val="1A204BC7"/>
    <w:rsid w:val="1A2C5732"/>
    <w:rsid w:val="1A307ACF"/>
    <w:rsid w:val="1A590792"/>
    <w:rsid w:val="1A6749FC"/>
    <w:rsid w:val="1A6C5716"/>
    <w:rsid w:val="1A7C004F"/>
    <w:rsid w:val="1AE06D83"/>
    <w:rsid w:val="1B023E1A"/>
    <w:rsid w:val="1B7C0EEF"/>
    <w:rsid w:val="1B8D443B"/>
    <w:rsid w:val="1B9342E0"/>
    <w:rsid w:val="1BB67591"/>
    <w:rsid w:val="1BBB6EF2"/>
    <w:rsid w:val="1BE87F82"/>
    <w:rsid w:val="1C202C5C"/>
    <w:rsid w:val="1C4D73AF"/>
    <w:rsid w:val="1C6568C1"/>
    <w:rsid w:val="1D0936F0"/>
    <w:rsid w:val="1D317CD0"/>
    <w:rsid w:val="1D7C3EC2"/>
    <w:rsid w:val="1DAD6772"/>
    <w:rsid w:val="1EBB0A1A"/>
    <w:rsid w:val="1EC75611"/>
    <w:rsid w:val="1F212F73"/>
    <w:rsid w:val="1F793342"/>
    <w:rsid w:val="1FE34E1E"/>
    <w:rsid w:val="207318E2"/>
    <w:rsid w:val="209D6A2E"/>
    <w:rsid w:val="20CC5D55"/>
    <w:rsid w:val="20ED4B10"/>
    <w:rsid w:val="20F326ED"/>
    <w:rsid w:val="20F6042F"/>
    <w:rsid w:val="212463C4"/>
    <w:rsid w:val="21274DE8"/>
    <w:rsid w:val="21993359"/>
    <w:rsid w:val="21AE1AD8"/>
    <w:rsid w:val="21FA383A"/>
    <w:rsid w:val="227B6E3E"/>
    <w:rsid w:val="227D021A"/>
    <w:rsid w:val="227D056A"/>
    <w:rsid w:val="229B752C"/>
    <w:rsid w:val="22ED4349"/>
    <w:rsid w:val="23144B9D"/>
    <w:rsid w:val="231A1E97"/>
    <w:rsid w:val="231B4030"/>
    <w:rsid w:val="23356FED"/>
    <w:rsid w:val="23762039"/>
    <w:rsid w:val="237C4C1C"/>
    <w:rsid w:val="23D11E40"/>
    <w:rsid w:val="24015D81"/>
    <w:rsid w:val="242805EF"/>
    <w:rsid w:val="24AA57B9"/>
    <w:rsid w:val="24D8780C"/>
    <w:rsid w:val="25057437"/>
    <w:rsid w:val="250A26FB"/>
    <w:rsid w:val="250A5C16"/>
    <w:rsid w:val="252A7D7C"/>
    <w:rsid w:val="254E083A"/>
    <w:rsid w:val="25520E52"/>
    <w:rsid w:val="2578540B"/>
    <w:rsid w:val="26196920"/>
    <w:rsid w:val="26802C75"/>
    <w:rsid w:val="26D7485F"/>
    <w:rsid w:val="26F15DBC"/>
    <w:rsid w:val="270C62B7"/>
    <w:rsid w:val="27892F16"/>
    <w:rsid w:val="27E40FE2"/>
    <w:rsid w:val="27F21951"/>
    <w:rsid w:val="28521A07"/>
    <w:rsid w:val="287700A8"/>
    <w:rsid w:val="28A075FF"/>
    <w:rsid w:val="28BE1833"/>
    <w:rsid w:val="28C01A4F"/>
    <w:rsid w:val="2937040D"/>
    <w:rsid w:val="296E563B"/>
    <w:rsid w:val="298F31CF"/>
    <w:rsid w:val="2A2840F7"/>
    <w:rsid w:val="2A465F84"/>
    <w:rsid w:val="2A5F2BA2"/>
    <w:rsid w:val="2A6F2E6D"/>
    <w:rsid w:val="2A8B654F"/>
    <w:rsid w:val="2AE708DF"/>
    <w:rsid w:val="2B2142FB"/>
    <w:rsid w:val="2B2D4A4E"/>
    <w:rsid w:val="2B434271"/>
    <w:rsid w:val="2B90645B"/>
    <w:rsid w:val="2B9F4826"/>
    <w:rsid w:val="2BA41D4A"/>
    <w:rsid w:val="2BBC0CFD"/>
    <w:rsid w:val="2BBF756D"/>
    <w:rsid w:val="2C0A7D08"/>
    <w:rsid w:val="2C1F1B03"/>
    <w:rsid w:val="2C4464F3"/>
    <w:rsid w:val="2C520C10"/>
    <w:rsid w:val="2CBE5D0E"/>
    <w:rsid w:val="2CF34C56"/>
    <w:rsid w:val="2DD75033"/>
    <w:rsid w:val="2DD9710F"/>
    <w:rsid w:val="2E053A60"/>
    <w:rsid w:val="2E920F6C"/>
    <w:rsid w:val="2ECD27D0"/>
    <w:rsid w:val="2EE97B5C"/>
    <w:rsid w:val="2EF77712"/>
    <w:rsid w:val="2F51523D"/>
    <w:rsid w:val="2F823E00"/>
    <w:rsid w:val="2FAF5C4C"/>
    <w:rsid w:val="2FEA115F"/>
    <w:rsid w:val="305E3D04"/>
    <w:rsid w:val="30683622"/>
    <w:rsid w:val="3091782D"/>
    <w:rsid w:val="30947B21"/>
    <w:rsid w:val="30A6152A"/>
    <w:rsid w:val="30F63FC7"/>
    <w:rsid w:val="311F74EF"/>
    <w:rsid w:val="315D128C"/>
    <w:rsid w:val="317B6B20"/>
    <w:rsid w:val="31E3055C"/>
    <w:rsid w:val="32230959"/>
    <w:rsid w:val="32452A03"/>
    <w:rsid w:val="326E6FE9"/>
    <w:rsid w:val="32723F14"/>
    <w:rsid w:val="32753B5F"/>
    <w:rsid w:val="334353D9"/>
    <w:rsid w:val="33606A6A"/>
    <w:rsid w:val="33720D27"/>
    <w:rsid w:val="33D939C5"/>
    <w:rsid w:val="33E02FA5"/>
    <w:rsid w:val="340A6B46"/>
    <w:rsid w:val="34160775"/>
    <w:rsid w:val="341B222F"/>
    <w:rsid w:val="344404FC"/>
    <w:rsid w:val="344900A5"/>
    <w:rsid w:val="34806536"/>
    <w:rsid w:val="34C44675"/>
    <w:rsid w:val="34DA607D"/>
    <w:rsid w:val="34E05800"/>
    <w:rsid w:val="35011703"/>
    <w:rsid w:val="3510148B"/>
    <w:rsid w:val="35171EBE"/>
    <w:rsid w:val="35494B7A"/>
    <w:rsid w:val="35935DF5"/>
    <w:rsid w:val="35B04BF9"/>
    <w:rsid w:val="35E1263E"/>
    <w:rsid w:val="35FE73A5"/>
    <w:rsid w:val="362242C4"/>
    <w:rsid w:val="362C1D76"/>
    <w:rsid w:val="36475221"/>
    <w:rsid w:val="368F2A60"/>
    <w:rsid w:val="37533A8E"/>
    <w:rsid w:val="37A32315"/>
    <w:rsid w:val="37B254F5"/>
    <w:rsid w:val="37BA58BB"/>
    <w:rsid w:val="37D20D91"/>
    <w:rsid w:val="380A4B05"/>
    <w:rsid w:val="380C3BB2"/>
    <w:rsid w:val="38123949"/>
    <w:rsid w:val="38154270"/>
    <w:rsid w:val="381B1E18"/>
    <w:rsid w:val="38380B13"/>
    <w:rsid w:val="384F06F9"/>
    <w:rsid w:val="38661397"/>
    <w:rsid w:val="387E0F6E"/>
    <w:rsid w:val="38E52E0C"/>
    <w:rsid w:val="391D5313"/>
    <w:rsid w:val="399D7A06"/>
    <w:rsid w:val="39A40862"/>
    <w:rsid w:val="39AE0D81"/>
    <w:rsid w:val="39C3314D"/>
    <w:rsid w:val="39FB00A4"/>
    <w:rsid w:val="39FB78A4"/>
    <w:rsid w:val="3A2E4572"/>
    <w:rsid w:val="3B697D24"/>
    <w:rsid w:val="3B895CD0"/>
    <w:rsid w:val="3BC92571"/>
    <w:rsid w:val="3C3E76DD"/>
    <w:rsid w:val="3C6E263E"/>
    <w:rsid w:val="3C894B2E"/>
    <w:rsid w:val="3C8B5A78"/>
    <w:rsid w:val="3D404D73"/>
    <w:rsid w:val="3D42082D"/>
    <w:rsid w:val="3D5642D8"/>
    <w:rsid w:val="3DC50C31"/>
    <w:rsid w:val="3DF338D5"/>
    <w:rsid w:val="3E12044D"/>
    <w:rsid w:val="3E614CE2"/>
    <w:rsid w:val="3E720333"/>
    <w:rsid w:val="3F1A7289"/>
    <w:rsid w:val="3F1C5A31"/>
    <w:rsid w:val="3F6A5171"/>
    <w:rsid w:val="3F847948"/>
    <w:rsid w:val="40033813"/>
    <w:rsid w:val="406D5BC1"/>
    <w:rsid w:val="40AE4CCE"/>
    <w:rsid w:val="40D64955"/>
    <w:rsid w:val="41160006"/>
    <w:rsid w:val="41B15F81"/>
    <w:rsid w:val="41D46DAB"/>
    <w:rsid w:val="41F05C62"/>
    <w:rsid w:val="425837A1"/>
    <w:rsid w:val="427D40B5"/>
    <w:rsid w:val="42813C71"/>
    <w:rsid w:val="42A24ED5"/>
    <w:rsid w:val="42A52AC8"/>
    <w:rsid w:val="42B96073"/>
    <w:rsid w:val="43052E26"/>
    <w:rsid w:val="43064F71"/>
    <w:rsid w:val="43217257"/>
    <w:rsid w:val="4332746C"/>
    <w:rsid w:val="435D321A"/>
    <w:rsid w:val="43D8337A"/>
    <w:rsid w:val="43E62267"/>
    <w:rsid w:val="441F3676"/>
    <w:rsid w:val="44584D0D"/>
    <w:rsid w:val="446E204B"/>
    <w:rsid w:val="44BF422A"/>
    <w:rsid w:val="44D85659"/>
    <w:rsid w:val="45365331"/>
    <w:rsid w:val="456048F1"/>
    <w:rsid w:val="45813EBC"/>
    <w:rsid w:val="4614088C"/>
    <w:rsid w:val="4616651F"/>
    <w:rsid w:val="461F68EC"/>
    <w:rsid w:val="468C48C7"/>
    <w:rsid w:val="47605A10"/>
    <w:rsid w:val="485C0EA7"/>
    <w:rsid w:val="497955D6"/>
    <w:rsid w:val="4A0D1DE5"/>
    <w:rsid w:val="4A693D21"/>
    <w:rsid w:val="4AE64EED"/>
    <w:rsid w:val="4AF53DAE"/>
    <w:rsid w:val="4B025F36"/>
    <w:rsid w:val="4B3A2B43"/>
    <w:rsid w:val="4B682DF9"/>
    <w:rsid w:val="4BA75B8A"/>
    <w:rsid w:val="4BAD77B9"/>
    <w:rsid w:val="4BBA3A6F"/>
    <w:rsid w:val="4C753FD3"/>
    <w:rsid w:val="4C8C3161"/>
    <w:rsid w:val="4C932747"/>
    <w:rsid w:val="4CD15729"/>
    <w:rsid w:val="4D063625"/>
    <w:rsid w:val="4D8B148F"/>
    <w:rsid w:val="4DA07E88"/>
    <w:rsid w:val="4DBC0187"/>
    <w:rsid w:val="4DDE5CFA"/>
    <w:rsid w:val="4E3142E2"/>
    <w:rsid w:val="4E56172D"/>
    <w:rsid w:val="4EAD5D22"/>
    <w:rsid w:val="4F0B449F"/>
    <w:rsid w:val="4F697E9B"/>
    <w:rsid w:val="4F6E3703"/>
    <w:rsid w:val="4FA0465B"/>
    <w:rsid w:val="4FAA0CCD"/>
    <w:rsid w:val="4FB304EB"/>
    <w:rsid w:val="4FC2085C"/>
    <w:rsid w:val="4FCC21D8"/>
    <w:rsid w:val="4FCF4787"/>
    <w:rsid w:val="5038161B"/>
    <w:rsid w:val="505925AB"/>
    <w:rsid w:val="507F6374"/>
    <w:rsid w:val="509176A9"/>
    <w:rsid w:val="5116195C"/>
    <w:rsid w:val="515A3F3F"/>
    <w:rsid w:val="516A1CA8"/>
    <w:rsid w:val="51D04201"/>
    <w:rsid w:val="51E57A85"/>
    <w:rsid w:val="51EC2884"/>
    <w:rsid w:val="523C4FD1"/>
    <w:rsid w:val="52426781"/>
    <w:rsid w:val="52615103"/>
    <w:rsid w:val="5293583A"/>
    <w:rsid w:val="52A116FA"/>
    <w:rsid w:val="52A72B76"/>
    <w:rsid w:val="534529CD"/>
    <w:rsid w:val="535F050B"/>
    <w:rsid w:val="53701D6C"/>
    <w:rsid w:val="53E61ABA"/>
    <w:rsid w:val="54BC1D8E"/>
    <w:rsid w:val="54F55D2D"/>
    <w:rsid w:val="55826B18"/>
    <w:rsid w:val="55911DD3"/>
    <w:rsid w:val="55985036"/>
    <w:rsid w:val="56235919"/>
    <w:rsid w:val="562C39D0"/>
    <w:rsid w:val="564772A8"/>
    <w:rsid w:val="564E568D"/>
    <w:rsid w:val="566A1EF4"/>
    <w:rsid w:val="56984577"/>
    <w:rsid w:val="56C54E76"/>
    <w:rsid w:val="575D21A0"/>
    <w:rsid w:val="576D0F4D"/>
    <w:rsid w:val="57792C45"/>
    <w:rsid w:val="57CD1396"/>
    <w:rsid w:val="57D02D65"/>
    <w:rsid w:val="57FB4674"/>
    <w:rsid w:val="58091A66"/>
    <w:rsid w:val="58446ED5"/>
    <w:rsid w:val="58624018"/>
    <w:rsid w:val="588E5F77"/>
    <w:rsid w:val="58A8488D"/>
    <w:rsid w:val="593E413F"/>
    <w:rsid w:val="596E4037"/>
    <w:rsid w:val="59701E26"/>
    <w:rsid w:val="59B44408"/>
    <w:rsid w:val="59B5121A"/>
    <w:rsid w:val="5A986635"/>
    <w:rsid w:val="5B4026A7"/>
    <w:rsid w:val="5B57329D"/>
    <w:rsid w:val="5B7420A1"/>
    <w:rsid w:val="5B7F45A2"/>
    <w:rsid w:val="5BB31C99"/>
    <w:rsid w:val="5BDE576D"/>
    <w:rsid w:val="5C904CB9"/>
    <w:rsid w:val="5CBC0084"/>
    <w:rsid w:val="5CC74453"/>
    <w:rsid w:val="5CE46DB3"/>
    <w:rsid w:val="5D273DE0"/>
    <w:rsid w:val="5DC10EA2"/>
    <w:rsid w:val="5DF41277"/>
    <w:rsid w:val="5E0735C3"/>
    <w:rsid w:val="5E4F4700"/>
    <w:rsid w:val="5E653F23"/>
    <w:rsid w:val="5E9B2E43"/>
    <w:rsid w:val="5ECA5D7B"/>
    <w:rsid w:val="5EE3728C"/>
    <w:rsid w:val="5F1220D2"/>
    <w:rsid w:val="5FD44EBD"/>
    <w:rsid w:val="5FE570CA"/>
    <w:rsid w:val="5FFB7EB3"/>
    <w:rsid w:val="603E705D"/>
    <w:rsid w:val="60517676"/>
    <w:rsid w:val="60606383"/>
    <w:rsid w:val="60653243"/>
    <w:rsid w:val="60B81034"/>
    <w:rsid w:val="61560BC3"/>
    <w:rsid w:val="61767490"/>
    <w:rsid w:val="619A2136"/>
    <w:rsid w:val="61C55405"/>
    <w:rsid w:val="62384217"/>
    <w:rsid w:val="62C51434"/>
    <w:rsid w:val="63033BC1"/>
    <w:rsid w:val="63394B1E"/>
    <w:rsid w:val="637A638D"/>
    <w:rsid w:val="639E415F"/>
    <w:rsid w:val="63CF256B"/>
    <w:rsid w:val="64193710"/>
    <w:rsid w:val="642334DF"/>
    <w:rsid w:val="647664C4"/>
    <w:rsid w:val="64C01DA8"/>
    <w:rsid w:val="64E9765C"/>
    <w:rsid w:val="64F17F23"/>
    <w:rsid w:val="65554CF2"/>
    <w:rsid w:val="65E72ED2"/>
    <w:rsid w:val="65F44FF0"/>
    <w:rsid w:val="65FF6A0B"/>
    <w:rsid w:val="6661283B"/>
    <w:rsid w:val="66811B16"/>
    <w:rsid w:val="668A2779"/>
    <w:rsid w:val="669873E5"/>
    <w:rsid w:val="66BC7FA2"/>
    <w:rsid w:val="675B3DB6"/>
    <w:rsid w:val="679022BB"/>
    <w:rsid w:val="67F0485E"/>
    <w:rsid w:val="67F3434E"/>
    <w:rsid w:val="680D16E7"/>
    <w:rsid w:val="6852376A"/>
    <w:rsid w:val="68C0149A"/>
    <w:rsid w:val="68F760C0"/>
    <w:rsid w:val="69136635"/>
    <w:rsid w:val="69C56B6F"/>
    <w:rsid w:val="69CE3655"/>
    <w:rsid w:val="6A266D72"/>
    <w:rsid w:val="6A701C86"/>
    <w:rsid w:val="6A8369CB"/>
    <w:rsid w:val="6AC10733"/>
    <w:rsid w:val="6B016D82"/>
    <w:rsid w:val="6B0F69B1"/>
    <w:rsid w:val="6B776E59"/>
    <w:rsid w:val="6BF65CF0"/>
    <w:rsid w:val="6C5C055A"/>
    <w:rsid w:val="6C7218C1"/>
    <w:rsid w:val="6D6F091A"/>
    <w:rsid w:val="6D737FA7"/>
    <w:rsid w:val="6D940381"/>
    <w:rsid w:val="6DA2484C"/>
    <w:rsid w:val="6DB93303"/>
    <w:rsid w:val="6DEF3809"/>
    <w:rsid w:val="6DF2554C"/>
    <w:rsid w:val="6E770199"/>
    <w:rsid w:val="6E932DE0"/>
    <w:rsid w:val="6EC6383F"/>
    <w:rsid w:val="6F050ABC"/>
    <w:rsid w:val="6F5417B5"/>
    <w:rsid w:val="6F713950"/>
    <w:rsid w:val="6FD1766A"/>
    <w:rsid w:val="70163AE9"/>
    <w:rsid w:val="701D28B0"/>
    <w:rsid w:val="703A5210"/>
    <w:rsid w:val="704E28C0"/>
    <w:rsid w:val="706649D4"/>
    <w:rsid w:val="711972EB"/>
    <w:rsid w:val="71864485"/>
    <w:rsid w:val="71A768D5"/>
    <w:rsid w:val="71D12A1A"/>
    <w:rsid w:val="71F67DA9"/>
    <w:rsid w:val="72295B7C"/>
    <w:rsid w:val="725F0F5E"/>
    <w:rsid w:val="730613D9"/>
    <w:rsid w:val="732E6B82"/>
    <w:rsid w:val="735148C4"/>
    <w:rsid w:val="736A0A5C"/>
    <w:rsid w:val="736E59B2"/>
    <w:rsid w:val="73BD7F39"/>
    <w:rsid w:val="73D166EF"/>
    <w:rsid w:val="73E40F6F"/>
    <w:rsid w:val="73F76C73"/>
    <w:rsid w:val="74533B7B"/>
    <w:rsid w:val="749A1F5A"/>
    <w:rsid w:val="74B16A11"/>
    <w:rsid w:val="74DB7A26"/>
    <w:rsid w:val="759C7DD3"/>
    <w:rsid w:val="75AA020B"/>
    <w:rsid w:val="7621477C"/>
    <w:rsid w:val="76305AF4"/>
    <w:rsid w:val="765E32DA"/>
    <w:rsid w:val="767C19B2"/>
    <w:rsid w:val="76FF686B"/>
    <w:rsid w:val="770F2826"/>
    <w:rsid w:val="775B5118"/>
    <w:rsid w:val="77B62BF3"/>
    <w:rsid w:val="7860158C"/>
    <w:rsid w:val="78C0027C"/>
    <w:rsid w:val="78FF6FF6"/>
    <w:rsid w:val="79164340"/>
    <w:rsid w:val="794F03AD"/>
    <w:rsid w:val="797572B9"/>
    <w:rsid w:val="79A02712"/>
    <w:rsid w:val="7A5A1F53"/>
    <w:rsid w:val="7A7C5010"/>
    <w:rsid w:val="7AAD2A82"/>
    <w:rsid w:val="7ABB0132"/>
    <w:rsid w:val="7B09571A"/>
    <w:rsid w:val="7B3F7B7E"/>
    <w:rsid w:val="7B933845"/>
    <w:rsid w:val="7C06069C"/>
    <w:rsid w:val="7C2B0102"/>
    <w:rsid w:val="7CE85FF3"/>
    <w:rsid w:val="7CF35E95"/>
    <w:rsid w:val="7D0C1CE2"/>
    <w:rsid w:val="7D32101D"/>
    <w:rsid w:val="7D4C6582"/>
    <w:rsid w:val="7D8A1BA5"/>
    <w:rsid w:val="7DE24E94"/>
    <w:rsid w:val="7E1C7D03"/>
    <w:rsid w:val="7E6E65C6"/>
    <w:rsid w:val="7EBC227E"/>
    <w:rsid w:val="7ED40246"/>
    <w:rsid w:val="7EE531D0"/>
    <w:rsid w:val="7F065E5F"/>
    <w:rsid w:val="7F6404F2"/>
    <w:rsid w:val="7FD72C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3"/>
    <w:semiHidden/>
    <w:unhideWhenUsed/>
    <w:qFormat/>
    <w:uiPriority w:val="99"/>
    <w:pPr>
      <w:jc w:val="left"/>
    </w:pPr>
  </w:style>
  <w:style w:type="paragraph" w:styleId="3">
    <w:name w:val="Plain Text"/>
    <w:basedOn w:val="1"/>
    <w:link w:val="22"/>
    <w:unhideWhenUsed/>
    <w:qFormat/>
    <w:uiPriority w:val="99"/>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24"/>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paragraph" w:styleId="13">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paragraph" w:styleId="16">
    <w:name w:val="List Paragraph"/>
    <w:basedOn w:val="1"/>
    <w:qFormat/>
    <w:uiPriority w:val="34"/>
    <w:pPr>
      <w:ind w:firstLine="420" w:firstLineChars="200"/>
    </w:pPr>
  </w:style>
  <w:style w:type="paragraph" w:customStyle="1" w:styleId="17">
    <w:name w:val="二级条标题"/>
    <w:basedOn w:val="18"/>
    <w:next w:val="19"/>
    <w:qFormat/>
    <w:uiPriority w:val="0"/>
    <w:pPr>
      <w:numPr>
        <w:ilvl w:val="2"/>
      </w:numPr>
      <w:spacing w:before="50" w:after="50"/>
      <w:outlineLvl w:val="3"/>
    </w:pPr>
  </w:style>
  <w:style w:type="paragraph" w:customStyle="1" w:styleId="18">
    <w:name w:val="一级条标题"/>
    <w:next w:val="1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0">
    <w:name w:val="批注框文本 字符"/>
    <w:basedOn w:val="11"/>
    <w:link w:val="4"/>
    <w:semiHidden/>
    <w:qFormat/>
    <w:uiPriority w:val="99"/>
    <w:rPr>
      <w:rFonts w:asciiTheme="minorHAnsi" w:hAnsiTheme="minorHAnsi" w:eastAsiaTheme="minorEastAsia" w:cstheme="minorBidi"/>
      <w:kern w:val="2"/>
      <w:sz w:val="18"/>
      <w:szCs w:val="18"/>
    </w:rPr>
  </w:style>
  <w:style w:type="character" w:customStyle="1" w:styleId="21">
    <w:name w:val="f101"/>
    <w:qFormat/>
    <w:uiPriority w:val="99"/>
    <w:rPr>
      <w:sz w:val="24"/>
      <w:szCs w:val="24"/>
    </w:rPr>
  </w:style>
  <w:style w:type="character" w:customStyle="1" w:styleId="22">
    <w:name w:val="纯文本 字符"/>
    <w:basedOn w:val="11"/>
    <w:link w:val="3"/>
    <w:qFormat/>
    <w:uiPriority w:val="99"/>
    <w:rPr>
      <w:rFonts w:ascii="宋体" w:hAnsi="Courier New" w:cs="Courier New"/>
      <w:kern w:val="2"/>
      <w:sz w:val="21"/>
      <w:szCs w:val="21"/>
    </w:rPr>
  </w:style>
  <w:style w:type="character" w:customStyle="1" w:styleId="23">
    <w:name w:val="批注文字 字符"/>
    <w:basedOn w:val="11"/>
    <w:link w:val="2"/>
    <w:semiHidden/>
    <w:qFormat/>
    <w:uiPriority w:val="99"/>
    <w:rPr>
      <w:rFonts w:asciiTheme="minorHAnsi" w:hAnsiTheme="minorHAnsi" w:eastAsiaTheme="minorEastAsia" w:cstheme="minorBidi"/>
      <w:kern w:val="2"/>
      <w:sz w:val="21"/>
      <w:szCs w:val="22"/>
    </w:rPr>
  </w:style>
  <w:style w:type="character" w:customStyle="1" w:styleId="24">
    <w:name w:val="批注主题 字符"/>
    <w:basedOn w:val="23"/>
    <w:link w:val="8"/>
    <w:qFormat/>
    <w:uiPriority w:val="0"/>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805EC1-619C-4F04-8E34-2E8839369AA2}">
  <ds:schemaRefs/>
</ds:datastoreItem>
</file>

<file path=docProps/app.xml><?xml version="1.0" encoding="utf-8"?>
<Properties xmlns="http://schemas.openxmlformats.org/officeDocument/2006/extended-properties" xmlns:vt="http://schemas.openxmlformats.org/officeDocument/2006/docPropsVTypes">
  <Template>Normal.dotm</Template>
  <Company>LG</Company>
  <Pages>16</Pages>
  <Words>6342</Words>
  <Characters>6871</Characters>
  <Lines>48</Lines>
  <Paragraphs>13</Paragraphs>
  <TotalTime>3</TotalTime>
  <ScaleCrop>false</ScaleCrop>
  <LinksUpToDate>false</LinksUpToDate>
  <CharactersWithSpaces>6900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2018-05-07T05:46:00Z</dcterms:created>
  <dc:creator>Hewlett Packard</dc:creator>
  <cp:lastModifiedBy>上山打老虎</cp:lastModifiedBy>
  <cp:lastPrinted>2023-12-18T00:53:00Z</cp:lastPrinted>
  <dcterms:modified xsi:type="dcterms:W3CDTF">2026-07-27T03:39:56Z</dcterms:modified>
  <cp:revision>2140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C4F089F4B5F3431C85D851E856D943EB</vt:lpwstr>
  </property>
  <property fmtid="{D5CDD505-2E9C-101B-9397-08002B2CF9AE}" pid="4" name="KSOTemplateDocerSaveRecord">
    <vt:lpwstr>eyJoZGlkIjoiOGEwOTc1MzQxNGMzODkzMWM5Zjg0MWQ0YjUyZjdhY2YiLCJ1c2VySWQiOiIyODU2MTY4MTgifQ==</vt:lpwstr>
  </property>
</Properties>
</file>